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A60DD" w14:textId="3D525634" w:rsidR="004558BB" w:rsidRDefault="004558BB" w:rsidP="004558BB">
      <w:pPr>
        <w:pStyle w:val="Heading1"/>
      </w:pPr>
      <w:r>
        <w:t>Aculturación y valore ecológicos: notas y métodos</w:t>
      </w:r>
    </w:p>
    <w:p w14:paraId="244E9FFF" w14:textId="77777777" w:rsidR="004558BB" w:rsidRDefault="004558BB" w:rsidP="00D41AB9">
      <w:pPr>
        <w:rPr>
          <w:rFonts w:ascii="Calibri" w:hAnsi="Calibri"/>
          <w:sz w:val="22"/>
          <w:szCs w:val="22"/>
          <w:lang w:val="es-ES"/>
        </w:rPr>
      </w:pPr>
      <w:bookmarkStart w:id="0" w:name="_GoBack"/>
      <w:bookmarkEnd w:id="0"/>
    </w:p>
    <w:p w14:paraId="71452F73" w14:textId="266249EA" w:rsidR="00D41AB9" w:rsidRDefault="00D41AB9" w:rsidP="00D41AB9">
      <w:pPr>
        <w:rPr>
          <w:rFonts w:ascii="Calibri" w:hAnsi="Calibri"/>
          <w:sz w:val="22"/>
          <w:szCs w:val="22"/>
          <w:lang w:val="es-ES"/>
        </w:rPr>
      </w:pPr>
      <w:r w:rsidRPr="00D41AB9">
        <w:rPr>
          <w:rFonts w:ascii="Calibri" w:hAnsi="Calibri"/>
          <w:sz w:val="22"/>
          <w:szCs w:val="22"/>
          <w:lang w:val="es-ES"/>
        </w:rPr>
        <w:t xml:space="preserve">He </w:t>
      </w:r>
      <w:r>
        <w:rPr>
          <w:rFonts w:ascii="Calibri" w:hAnsi="Calibri"/>
          <w:sz w:val="22"/>
          <w:szCs w:val="22"/>
          <w:lang w:val="es-ES"/>
        </w:rPr>
        <w:t>juntado</w:t>
      </w:r>
      <w:r w:rsidRPr="00D41AB9">
        <w:rPr>
          <w:rFonts w:ascii="Calibri" w:hAnsi="Calibri"/>
          <w:sz w:val="22"/>
          <w:szCs w:val="22"/>
          <w:lang w:val="es-ES"/>
        </w:rPr>
        <w:t xml:space="preserve"> una serie de artículos que espero que puedan generar algunas ideas acerca de cómo medir cuánto valoran las personas sus tradiciones y sus conocimientos. He dividido el documento en dos secci</w:t>
      </w:r>
      <w:r>
        <w:rPr>
          <w:rFonts w:ascii="Calibri" w:hAnsi="Calibri"/>
          <w:sz w:val="22"/>
          <w:szCs w:val="22"/>
          <w:lang w:val="es-ES"/>
        </w:rPr>
        <w:t>ones;</w:t>
      </w:r>
      <w:r w:rsidRPr="00D41AB9">
        <w:rPr>
          <w:rFonts w:ascii="Calibri" w:hAnsi="Calibri"/>
          <w:sz w:val="22"/>
          <w:szCs w:val="22"/>
          <w:lang w:val="es-ES"/>
        </w:rPr>
        <w:t xml:space="preserve"> la primera se refiere a los estudios sobre la aculturación y la segunda a</w:t>
      </w:r>
      <w:r>
        <w:rPr>
          <w:rFonts w:ascii="Calibri" w:hAnsi="Calibri"/>
          <w:sz w:val="22"/>
          <w:szCs w:val="22"/>
          <w:lang w:val="es-ES"/>
        </w:rPr>
        <w:t xml:space="preserve"> los estudios relacionados con los</w:t>
      </w:r>
      <w:r w:rsidRPr="00D41AB9">
        <w:rPr>
          <w:rFonts w:ascii="Calibri" w:hAnsi="Calibri"/>
          <w:sz w:val="22"/>
          <w:szCs w:val="22"/>
          <w:lang w:val="es-ES"/>
        </w:rPr>
        <w:t xml:space="preserve"> conocimiento</w:t>
      </w:r>
      <w:r>
        <w:rPr>
          <w:rFonts w:ascii="Calibri" w:hAnsi="Calibri"/>
          <w:sz w:val="22"/>
          <w:szCs w:val="22"/>
          <w:lang w:val="es-ES"/>
        </w:rPr>
        <w:t>s</w:t>
      </w:r>
      <w:r w:rsidRPr="00D41AB9">
        <w:rPr>
          <w:rFonts w:ascii="Calibri" w:hAnsi="Calibri"/>
          <w:sz w:val="22"/>
          <w:szCs w:val="22"/>
          <w:lang w:val="es-ES"/>
        </w:rPr>
        <w:t xml:space="preserve"> ecológicos y la valoración.</w:t>
      </w:r>
    </w:p>
    <w:p w14:paraId="6A47F202" w14:textId="77777777" w:rsidR="00D41AB9" w:rsidRDefault="00D41AB9" w:rsidP="00D41AB9">
      <w:pPr>
        <w:rPr>
          <w:rFonts w:ascii="Calibri" w:hAnsi="Calibri"/>
          <w:sz w:val="22"/>
          <w:szCs w:val="22"/>
          <w:lang w:val="en-GB"/>
        </w:rPr>
      </w:pPr>
    </w:p>
    <w:p w14:paraId="3A5F5B12" w14:textId="77777777" w:rsidR="00C62C20" w:rsidRDefault="00C62C20" w:rsidP="00D41AB9">
      <w:pPr>
        <w:rPr>
          <w:rFonts w:ascii="Calibri" w:hAnsi="Calibri"/>
          <w:bCs/>
          <w:sz w:val="22"/>
          <w:szCs w:val="22"/>
          <w:lang w:val="es-ES"/>
        </w:rPr>
      </w:pPr>
      <w:proofErr w:type="spellStart"/>
      <w:r w:rsidRPr="006928A1">
        <w:rPr>
          <w:rFonts w:ascii="Calibri" w:hAnsi="Calibri"/>
          <w:sz w:val="22"/>
          <w:szCs w:val="22"/>
          <w:lang w:val="en-GB"/>
        </w:rPr>
        <w:t>Varios</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articulos</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analisan</w:t>
      </w:r>
      <w:proofErr w:type="spellEnd"/>
      <w:r w:rsidRPr="006928A1">
        <w:rPr>
          <w:rFonts w:ascii="Calibri" w:hAnsi="Calibri"/>
          <w:sz w:val="22"/>
          <w:szCs w:val="22"/>
          <w:lang w:val="en-GB"/>
        </w:rPr>
        <w:t xml:space="preserve"> la </w:t>
      </w:r>
      <w:proofErr w:type="spellStart"/>
      <w:r w:rsidRPr="006928A1">
        <w:rPr>
          <w:rFonts w:ascii="Calibri" w:hAnsi="Calibri"/>
          <w:sz w:val="22"/>
          <w:szCs w:val="22"/>
          <w:lang w:val="en-GB"/>
        </w:rPr>
        <w:t>valorizacion</w:t>
      </w:r>
      <w:proofErr w:type="spellEnd"/>
      <w:r w:rsidRPr="006928A1">
        <w:rPr>
          <w:rFonts w:ascii="Calibri" w:hAnsi="Calibri"/>
          <w:sz w:val="22"/>
          <w:szCs w:val="22"/>
          <w:lang w:val="en-GB"/>
        </w:rPr>
        <w:t xml:space="preserve"> de la propria </w:t>
      </w:r>
      <w:proofErr w:type="spellStart"/>
      <w:r w:rsidRPr="006928A1">
        <w:rPr>
          <w:rFonts w:ascii="Calibri" w:hAnsi="Calibri"/>
          <w:sz w:val="22"/>
          <w:szCs w:val="22"/>
          <w:lang w:val="en-GB"/>
        </w:rPr>
        <w:t>cultura</w:t>
      </w:r>
      <w:proofErr w:type="spellEnd"/>
      <w:r>
        <w:rPr>
          <w:rFonts w:ascii="Calibri" w:hAnsi="Calibri"/>
          <w:sz w:val="22"/>
          <w:szCs w:val="22"/>
          <w:lang w:val="en-GB"/>
        </w:rPr>
        <w:t xml:space="preserve"> </w:t>
      </w:r>
      <w:proofErr w:type="spellStart"/>
      <w:r>
        <w:rPr>
          <w:rFonts w:ascii="Calibri" w:hAnsi="Calibri"/>
          <w:sz w:val="22"/>
          <w:szCs w:val="22"/>
          <w:lang w:val="en-GB"/>
        </w:rPr>
        <w:t>usando</w:t>
      </w:r>
      <w:proofErr w:type="spellEnd"/>
      <w:r>
        <w:rPr>
          <w:rFonts w:ascii="Calibri" w:hAnsi="Calibri"/>
          <w:sz w:val="22"/>
          <w:szCs w:val="22"/>
          <w:lang w:val="en-GB"/>
        </w:rPr>
        <w:t xml:space="preserve"> </w:t>
      </w:r>
      <w:proofErr w:type="spellStart"/>
      <w:r>
        <w:rPr>
          <w:rFonts w:ascii="Calibri" w:hAnsi="Calibri"/>
          <w:sz w:val="22"/>
          <w:szCs w:val="22"/>
          <w:lang w:val="en-GB"/>
        </w:rPr>
        <w:t>escalas</w:t>
      </w:r>
      <w:proofErr w:type="spellEnd"/>
      <w:r>
        <w:rPr>
          <w:rFonts w:ascii="Calibri" w:hAnsi="Calibri"/>
          <w:sz w:val="22"/>
          <w:szCs w:val="22"/>
          <w:lang w:val="en-GB"/>
        </w:rPr>
        <w:t xml:space="preserve"> etc.</w:t>
      </w:r>
      <w:r w:rsidRPr="006928A1">
        <w:rPr>
          <w:rFonts w:ascii="Calibri" w:hAnsi="Calibri"/>
          <w:sz w:val="22"/>
          <w:szCs w:val="22"/>
          <w:lang w:val="en-GB"/>
        </w:rPr>
        <w:t xml:space="preserve">, </w:t>
      </w:r>
      <w:proofErr w:type="spellStart"/>
      <w:r w:rsidRPr="006928A1">
        <w:rPr>
          <w:rFonts w:ascii="Calibri" w:hAnsi="Calibri"/>
          <w:sz w:val="22"/>
          <w:szCs w:val="22"/>
          <w:lang w:val="en-GB"/>
        </w:rPr>
        <w:t>pero</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podria</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ser</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modificado</w:t>
      </w:r>
      <w:proofErr w:type="spellEnd"/>
      <w:r w:rsidRPr="006928A1">
        <w:rPr>
          <w:rFonts w:ascii="Calibri" w:hAnsi="Calibri"/>
          <w:sz w:val="22"/>
          <w:szCs w:val="22"/>
          <w:lang w:val="en-GB"/>
        </w:rPr>
        <w:t xml:space="preserve"> o </w:t>
      </w:r>
      <w:proofErr w:type="spellStart"/>
      <w:r w:rsidRPr="006928A1">
        <w:rPr>
          <w:rFonts w:ascii="Calibri" w:hAnsi="Calibri"/>
          <w:sz w:val="22"/>
          <w:szCs w:val="22"/>
          <w:lang w:val="en-GB"/>
        </w:rPr>
        <w:t>usado</w:t>
      </w:r>
      <w:proofErr w:type="spellEnd"/>
      <w:r w:rsidRPr="006928A1">
        <w:rPr>
          <w:rFonts w:ascii="Calibri" w:hAnsi="Calibri"/>
          <w:sz w:val="22"/>
          <w:szCs w:val="22"/>
          <w:lang w:val="en-GB"/>
        </w:rPr>
        <w:t xml:space="preserve"> en </w:t>
      </w:r>
      <w:proofErr w:type="spellStart"/>
      <w:r w:rsidRPr="006928A1">
        <w:rPr>
          <w:rFonts w:ascii="Calibri" w:hAnsi="Calibri"/>
          <w:sz w:val="22"/>
          <w:szCs w:val="22"/>
          <w:lang w:val="en-GB"/>
        </w:rPr>
        <w:t>otra</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manera</w:t>
      </w:r>
      <w:proofErr w:type="spellEnd"/>
      <w:r w:rsidRPr="006928A1">
        <w:rPr>
          <w:rFonts w:ascii="Calibri" w:hAnsi="Calibri"/>
          <w:sz w:val="22"/>
          <w:szCs w:val="22"/>
          <w:lang w:val="en-GB"/>
        </w:rPr>
        <w:t xml:space="preserve"> para </w:t>
      </w:r>
      <w:proofErr w:type="spellStart"/>
      <w:r w:rsidRPr="006928A1">
        <w:rPr>
          <w:rFonts w:ascii="Calibri" w:hAnsi="Calibri"/>
          <w:sz w:val="22"/>
          <w:szCs w:val="22"/>
          <w:lang w:val="en-GB"/>
        </w:rPr>
        <w:t>medir</w:t>
      </w:r>
      <w:proofErr w:type="spellEnd"/>
      <w:r w:rsidRPr="006928A1">
        <w:rPr>
          <w:rFonts w:ascii="Calibri" w:hAnsi="Calibri"/>
          <w:sz w:val="22"/>
          <w:szCs w:val="22"/>
          <w:lang w:val="en-GB"/>
        </w:rPr>
        <w:t xml:space="preserve"> o </w:t>
      </w:r>
      <w:proofErr w:type="spellStart"/>
      <w:r w:rsidRPr="006928A1">
        <w:rPr>
          <w:rFonts w:ascii="Calibri" w:hAnsi="Calibri"/>
          <w:sz w:val="22"/>
          <w:szCs w:val="22"/>
          <w:lang w:val="en-GB"/>
        </w:rPr>
        <w:t>tener</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una</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medida</w:t>
      </w:r>
      <w:proofErr w:type="spellEnd"/>
      <w:r w:rsidRPr="006928A1">
        <w:rPr>
          <w:rFonts w:ascii="Calibri" w:hAnsi="Calibri"/>
          <w:sz w:val="22"/>
          <w:szCs w:val="22"/>
          <w:lang w:val="en-GB"/>
        </w:rPr>
        <w:t xml:space="preserve"> de la </w:t>
      </w:r>
      <w:proofErr w:type="spellStart"/>
      <w:r w:rsidRPr="006928A1">
        <w:rPr>
          <w:rFonts w:ascii="Calibri" w:hAnsi="Calibri"/>
          <w:sz w:val="22"/>
          <w:szCs w:val="22"/>
          <w:lang w:val="en-GB"/>
        </w:rPr>
        <w:t>valorizacion</w:t>
      </w:r>
      <w:proofErr w:type="spellEnd"/>
      <w:r w:rsidRPr="006928A1">
        <w:rPr>
          <w:rFonts w:ascii="Calibri" w:hAnsi="Calibri"/>
          <w:sz w:val="22"/>
          <w:szCs w:val="22"/>
          <w:lang w:val="en-GB"/>
        </w:rPr>
        <w:t xml:space="preserve"> de los </w:t>
      </w:r>
      <w:proofErr w:type="spellStart"/>
      <w:r w:rsidRPr="006928A1">
        <w:rPr>
          <w:rFonts w:ascii="Calibri" w:hAnsi="Calibri"/>
          <w:sz w:val="22"/>
          <w:szCs w:val="22"/>
          <w:lang w:val="en-GB"/>
        </w:rPr>
        <w:t>conocimientos</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indigenas</w:t>
      </w:r>
      <w:proofErr w:type="spellEnd"/>
      <w:r w:rsidRPr="006928A1">
        <w:rPr>
          <w:rFonts w:ascii="Calibri" w:hAnsi="Calibri"/>
          <w:sz w:val="22"/>
          <w:szCs w:val="22"/>
          <w:lang w:val="en-GB"/>
        </w:rPr>
        <w:t xml:space="preserve">. </w:t>
      </w:r>
      <w:proofErr w:type="spellStart"/>
      <w:r w:rsidRPr="006928A1">
        <w:rPr>
          <w:rFonts w:ascii="Calibri" w:hAnsi="Calibri"/>
          <w:sz w:val="22"/>
          <w:szCs w:val="22"/>
          <w:lang w:val="en-GB"/>
        </w:rPr>
        <w:t>Habria</w:t>
      </w:r>
      <w:proofErr w:type="spellEnd"/>
      <w:r w:rsidRPr="006928A1">
        <w:rPr>
          <w:rFonts w:ascii="Calibri" w:hAnsi="Calibri"/>
          <w:sz w:val="22"/>
          <w:szCs w:val="22"/>
          <w:lang w:val="en-GB"/>
        </w:rPr>
        <w:t xml:space="preserve"> </w:t>
      </w:r>
      <w:r>
        <w:rPr>
          <w:rFonts w:ascii="Calibri" w:hAnsi="Calibri"/>
          <w:sz w:val="22"/>
          <w:szCs w:val="22"/>
          <w:lang w:val="en-GB"/>
        </w:rPr>
        <w:t xml:space="preserve">que </w:t>
      </w:r>
      <w:r w:rsidRPr="006928A1">
        <w:rPr>
          <w:rFonts w:ascii="Calibri" w:hAnsi="Calibri"/>
          <w:sz w:val="22"/>
          <w:szCs w:val="22"/>
          <w:lang w:val="es-ES"/>
        </w:rPr>
        <w:t xml:space="preserve">establecer un binario de algún tipo entre plantas andinas y otras plantas, o conocimiento tradicional y "moderno". Hay muchos otros ejemplos de </w:t>
      </w:r>
      <w:r w:rsidRPr="006928A1">
        <w:rPr>
          <w:rFonts w:ascii="Calibri" w:hAnsi="Calibri"/>
          <w:b/>
          <w:sz w:val="22"/>
          <w:szCs w:val="22"/>
          <w:lang w:val="es-ES"/>
        </w:rPr>
        <w:t>‘Escalas de aculturación’</w:t>
      </w:r>
      <w:r>
        <w:rPr>
          <w:rFonts w:ascii="Calibri" w:hAnsi="Calibri"/>
          <w:b/>
          <w:sz w:val="22"/>
          <w:szCs w:val="22"/>
          <w:lang w:val="es-ES"/>
        </w:rPr>
        <w:t xml:space="preserve"> </w:t>
      </w:r>
      <w:r w:rsidRPr="00D41AB9">
        <w:rPr>
          <w:rFonts w:ascii="Calibri" w:hAnsi="Calibri"/>
          <w:sz w:val="22"/>
          <w:szCs w:val="22"/>
          <w:lang w:val="es-ES"/>
        </w:rPr>
        <w:t>(ver más abajo),</w:t>
      </w:r>
      <w:r w:rsidRPr="006928A1">
        <w:rPr>
          <w:rFonts w:ascii="Calibri" w:hAnsi="Calibri"/>
          <w:b/>
          <w:sz w:val="22"/>
          <w:szCs w:val="22"/>
          <w:lang w:val="es-ES"/>
        </w:rPr>
        <w:t xml:space="preserve"> </w:t>
      </w:r>
      <w:r w:rsidRPr="006928A1">
        <w:rPr>
          <w:rFonts w:ascii="Calibri" w:hAnsi="Calibri"/>
          <w:sz w:val="22"/>
          <w:szCs w:val="22"/>
          <w:lang w:val="es-ES"/>
        </w:rPr>
        <w:t>parecido a lo que uso Reyes-</w:t>
      </w:r>
      <w:proofErr w:type="spellStart"/>
      <w:r w:rsidRPr="006928A1">
        <w:rPr>
          <w:rFonts w:ascii="Calibri" w:hAnsi="Calibri"/>
          <w:sz w:val="22"/>
          <w:szCs w:val="22"/>
          <w:lang w:val="es-ES"/>
        </w:rPr>
        <w:t>Garcia</w:t>
      </w:r>
      <w:proofErr w:type="spellEnd"/>
      <w:r w:rsidRPr="006928A1">
        <w:rPr>
          <w:rFonts w:ascii="Calibri" w:hAnsi="Calibri"/>
          <w:sz w:val="22"/>
          <w:szCs w:val="22"/>
          <w:lang w:val="es-ES"/>
        </w:rPr>
        <w:t xml:space="preserve"> en el estudio arriba. </w:t>
      </w:r>
      <w:r>
        <w:rPr>
          <w:rFonts w:ascii="Calibri" w:hAnsi="Calibri"/>
          <w:sz w:val="22"/>
          <w:szCs w:val="22"/>
        </w:rPr>
        <w:t xml:space="preserve">Como </w:t>
      </w:r>
      <w:proofErr w:type="spellStart"/>
      <w:r>
        <w:rPr>
          <w:rFonts w:ascii="Calibri" w:hAnsi="Calibri"/>
          <w:sz w:val="22"/>
          <w:szCs w:val="22"/>
        </w:rPr>
        <w:t>ven</w:t>
      </w:r>
      <w:proofErr w:type="spellEnd"/>
      <w:r>
        <w:rPr>
          <w:rFonts w:ascii="Calibri" w:hAnsi="Calibri"/>
          <w:sz w:val="22"/>
          <w:szCs w:val="22"/>
        </w:rPr>
        <w:t xml:space="preserve">, </w:t>
      </w:r>
      <w:proofErr w:type="spellStart"/>
      <w:r>
        <w:rPr>
          <w:rFonts w:ascii="Calibri" w:hAnsi="Calibri"/>
          <w:sz w:val="22"/>
          <w:szCs w:val="22"/>
        </w:rPr>
        <w:t>Guarnaccia</w:t>
      </w:r>
      <w:proofErr w:type="spellEnd"/>
      <w:r>
        <w:rPr>
          <w:rFonts w:ascii="Calibri" w:hAnsi="Calibri"/>
          <w:sz w:val="22"/>
          <w:szCs w:val="22"/>
        </w:rPr>
        <w:t xml:space="preserve"> (2016) dice que hay que </w:t>
      </w:r>
      <w:proofErr w:type="spellStart"/>
      <w:r>
        <w:rPr>
          <w:rFonts w:ascii="Calibri" w:hAnsi="Calibri"/>
          <w:sz w:val="22"/>
          <w:szCs w:val="22"/>
        </w:rPr>
        <w:t>abandonar</w:t>
      </w:r>
      <w:proofErr w:type="spellEnd"/>
      <w:r>
        <w:rPr>
          <w:rFonts w:ascii="Calibri" w:hAnsi="Calibri"/>
          <w:sz w:val="22"/>
          <w:szCs w:val="22"/>
        </w:rPr>
        <w:t xml:space="preserve"> las </w:t>
      </w:r>
      <w:proofErr w:type="spellStart"/>
      <w:r>
        <w:rPr>
          <w:rFonts w:ascii="Calibri" w:hAnsi="Calibri"/>
          <w:sz w:val="22"/>
          <w:szCs w:val="22"/>
        </w:rPr>
        <w:t>escalas</w:t>
      </w:r>
      <w:proofErr w:type="spellEnd"/>
      <w:r>
        <w:rPr>
          <w:rFonts w:ascii="Calibri" w:hAnsi="Calibri"/>
          <w:sz w:val="22"/>
          <w:szCs w:val="22"/>
        </w:rPr>
        <w:t xml:space="preserve">! Pero </w:t>
      </w:r>
      <w:proofErr w:type="spellStart"/>
      <w:r>
        <w:rPr>
          <w:rFonts w:ascii="Calibri" w:hAnsi="Calibri"/>
          <w:sz w:val="22"/>
          <w:szCs w:val="22"/>
        </w:rPr>
        <w:t>aun</w:t>
      </w:r>
      <w:proofErr w:type="spellEnd"/>
      <w:r>
        <w:rPr>
          <w:rFonts w:ascii="Calibri" w:hAnsi="Calibri"/>
          <w:sz w:val="22"/>
          <w:szCs w:val="22"/>
        </w:rPr>
        <w:t xml:space="preserve"> </w:t>
      </w:r>
      <w:proofErr w:type="spellStart"/>
      <w:r>
        <w:rPr>
          <w:rFonts w:ascii="Calibri" w:hAnsi="Calibri"/>
          <w:sz w:val="22"/>
          <w:szCs w:val="22"/>
        </w:rPr>
        <w:t>podrian</w:t>
      </w:r>
      <w:proofErr w:type="spellEnd"/>
      <w:r>
        <w:rPr>
          <w:rFonts w:ascii="Calibri" w:hAnsi="Calibri"/>
          <w:sz w:val="22"/>
          <w:szCs w:val="22"/>
        </w:rPr>
        <w:t xml:space="preserve"> </w:t>
      </w:r>
      <w:proofErr w:type="spellStart"/>
      <w:r>
        <w:rPr>
          <w:rFonts w:ascii="Calibri" w:hAnsi="Calibri"/>
          <w:sz w:val="22"/>
          <w:szCs w:val="22"/>
        </w:rPr>
        <w:t>ser</w:t>
      </w:r>
      <w:proofErr w:type="spellEnd"/>
      <w:r>
        <w:rPr>
          <w:rFonts w:ascii="Calibri" w:hAnsi="Calibri"/>
          <w:sz w:val="22"/>
          <w:szCs w:val="22"/>
        </w:rPr>
        <w:t xml:space="preserve"> </w:t>
      </w:r>
      <w:proofErr w:type="spellStart"/>
      <w:r>
        <w:rPr>
          <w:rFonts w:ascii="Calibri" w:hAnsi="Calibri"/>
          <w:sz w:val="22"/>
          <w:szCs w:val="22"/>
        </w:rPr>
        <w:t>utiles</w:t>
      </w:r>
      <w:proofErr w:type="spellEnd"/>
      <w:r>
        <w:rPr>
          <w:rFonts w:ascii="Calibri" w:hAnsi="Calibri"/>
          <w:sz w:val="22"/>
          <w:szCs w:val="22"/>
        </w:rPr>
        <w:t xml:space="preserve"> para </w:t>
      </w:r>
      <w:proofErr w:type="spellStart"/>
      <w:r>
        <w:rPr>
          <w:rFonts w:ascii="Calibri" w:hAnsi="Calibri"/>
          <w:sz w:val="22"/>
          <w:szCs w:val="22"/>
        </w:rPr>
        <w:t>ver</w:t>
      </w:r>
      <w:proofErr w:type="spellEnd"/>
      <w:r>
        <w:rPr>
          <w:rFonts w:ascii="Calibri" w:hAnsi="Calibri"/>
          <w:sz w:val="22"/>
          <w:szCs w:val="22"/>
        </w:rPr>
        <w:t xml:space="preserve"> </w:t>
      </w:r>
      <w:proofErr w:type="spellStart"/>
      <w:r>
        <w:rPr>
          <w:rFonts w:ascii="Calibri" w:hAnsi="Calibri"/>
          <w:sz w:val="22"/>
          <w:szCs w:val="22"/>
        </w:rPr>
        <w:t>diferencias</w:t>
      </w:r>
      <w:proofErr w:type="spellEnd"/>
      <w:r>
        <w:rPr>
          <w:rFonts w:ascii="Calibri" w:hAnsi="Calibri"/>
          <w:sz w:val="22"/>
          <w:szCs w:val="22"/>
        </w:rPr>
        <w:t xml:space="preserve">, y </w:t>
      </w:r>
      <w:proofErr w:type="spellStart"/>
      <w:r>
        <w:rPr>
          <w:rFonts w:ascii="Calibri" w:hAnsi="Calibri"/>
          <w:sz w:val="22"/>
          <w:szCs w:val="22"/>
        </w:rPr>
        <w:t>medir</w:t>
      </w:r>
      <w:proofErr w:type="spellEnd"/>
      <w:r>
        <w:rPr>
          <w:rFonts w:ascii="Calibri" w:hAnsi="Calibri"/>
          <w:sz w:val="22"/>
          <w:szCs w:val="22"/>
        </w:rPr>
        <w:t xml:space="preserve"> </w:t>
      </w:r>
      <w:r>
        <w:rPr>
          <w:rFonts w:ascii="Calibri" w:hAnsi="Calibri"/>
          <w:sz w:val="22"/>
          <w:szCs w:val="22"/>
          <w:lang w:val="es-ES"/>
        </w:rPr>
        <w:t>c</w:t>
      </w:r>
      <w:r w:rsidRPr="006928A1">
        <w:rPr>
          <w:rFonts w:ascii="Calibri" w:hAnsi="Calibri"/>
          <w:sz w:val="22"/>
          <w:szCs w:val="22"/>
          <w:lang w:val="es-ES"/>
        </w:rPr>
        <w:t>ambios en la valoración de las tradiciones</w:t>
      </w:r>
      <w:r>
        <w:rPr>
          <w:rFonts w:ascii="Calibri" w:hAnsi="Calibri"/>
          <w:sz w:val="22"/>
          <w:szCs w:val="22"/>
          <w:lang w:val="es-ES"/>
        </w:rPr>
        <w:t xml:space="preserve"> o otra cosa. El que mas me gusta es Reye-</w:t>
      </w:r>
      <w:proofErr w:type="spellStart"/>
      <w:r>
        <w:rPr>
          <w:rFonts w:ascii="Calibri" w:hAnsi="Calibri"/>
          <w:sz w:val="22"/>
          <w:szCs w:val="22"/>
          <w:lang w:val="es-ES"/>
        </w:rPr>
        <w:t>Garcia</w:t>
      </w:r>
      <w:proofErr w:type="spellEnd"/>
      <w:r>
        <w:rPr>
          <w:rFonts w:ascii="Calibri" w:hAnsi="Calibri"/>
          <w:sz w:val="22"/>
          <w:szCs w:val="22"/>
          <w:lang w:val="es-ES"/>
        </w:rPr>
        <w:t xml:space="preserve"> con la escalera y varias preguntas para entender d</w:t>
      </w:r>
      <w:r w:rsidRPr="006928A1">
        <w:rPr>
          <w:rFonts w:ascii="Calibri" w:hAnsi="Calibri"/>
          <w:sz w:val="22"/>
          <w:szCs w:val="22"/>
          <w:lang w:val="es-ES"/>
        </w:rPr>
        <w:t>onde la gente se ve en la escalera (cuya posición es aleatoria)</w:t>
      </w:r>
      <w:r>
        <w:rPr>
          <w:rFonts w:ascii="Calibri" w:hAnsi="Calibri"/>
          <w:sz w:val="22"/>
          <w:szCs w:val="22"/>
          <w:lang w:val="es-ES"/>
        </w:rPr>
        <w:t xml:space="preserve">. El estudio de </w:t>
      </w:r>
      <w:r w:rsidRPr="009D3738">
        <w:rPr>
          <w:rFonts w:ascii="Calibri" w:hAnsi="Calibri"/>
          <w:bCs/>
          <w:sz w:val="22"/>
          <w:szCs w:val="22"/>
        </w:rPr>
        <w:t>Dominguez</w:t>
      </w:r>
      <w:r>
        <w:rPr>
          <w:rFonts w:ascii="Calibri" w:hAnsi="Calibri"/>
          <w:bCs/>
          <w:sz w:val="22"/>
          <w:szCs w:val="22"/>
        </w:rPr>
        <w:t xml:space="preserve"> et al. </w:t>
      </w:r>
      <w:proofErr w:type="spellStart"/>
      <w:r>
        <w:rPr>
          <w:rFonts w:ascii="Calibri" w:hAnsi="Calibri"/>
          <w:bCs/>
          <w:sz w:val="22"/>
          <w:szCs w:val="22"/>
        </w:rPr>
        <w:t>es</w:t>
      </w:r>
      <w:proofErr w:type="spellEnd"/>
      <w:r>
        <w:rPr>
          <w:rFonts w:ascii="Calibri" w:hAnsi="Calibri"/>
          <w:bCs/>
          <w:sz w:val="22"/>
          <w:szCs w:val="22"/>
        </w:rPr>
        <w:t xml:space="preserve"> </w:t>
      </w:r>
      <w:proofErr w:type="spellStart"/>
      <w:r>
        <w:rPr>
          <w:rFonts w:ascii="Calibri" w:hAnsi="Calibri"/>
          <w:bCs/>
          <w:sz w:val="22"/>
          <w:szCs w:val="22"/>
        </w:rPr>
        <w:t>tambien</w:t>
      </w:r>
      <w:proofErr w:type="spellEnd"/>
      <w:r>
        <w:rPr>
          <w:rFonts w:ascii="Calibri" w:hAnsi="Calibri"/>
          <w:bCs/>
          <w:sz w:val="22"/>
          <w:szCs w:val="22"/>
        </w:rPr>
        <w:t xml:space="preserve"> </w:t>
      </w:r>
      <w:proofErr w:type="spellStart"/>
      <w:r>
        <w:rPr>
          <w:rFonts w:ascii="Calibri" w:hAnsi="Calibri"/>
          <w:bCs/>
          <w:sz w:val="22"/>
          <w:szCs w:val="22"/>
        </w:rPr>
        <w:t>interesante</w:t>
      </w:r>
      <w:proofErr w:type="spellEnd"/>
      <w:r>
        <w:rPr>
          <w:rFonts w:ascii="Calibri" w:hAnsi="Calibri"/>
          <w:bCs/>
          <w:sz w:val="22"/>
          <w:szCs w:val="22"/>
        </w:rPr>
        <w:t xml:space="preserve">: </w:t>
      </w:r>
      <w:proofErr w:type="spellStart"/>
      <w:r>
        <w:rPr>
          <w:rFonts w:ascii="Calibri" w:hAnsi="Calibri"/>
          <w:bCs/>
          <w:sz w:val="22"/>
          <w:szCs w:val="22"/>
        </w:rPr>
        <w:t>desarollan</w:t>
      </w:r>
      <w:proofErr w:type="spellEnd"/>
      <w:r>
        <w:rPr>
          <w:rFonts w:ascii="Calibri" w:hAnsi="Calibri"/>
          <w:bCs/>
          <w:sz w:val="22"/>
          <w:szCs w:val="22"/>
        </w:rPr>
        <w:t xml:space="preserve"> </w:t>
      </w:r>
      <w:r>
        <w:rPr>
          <w:rFonts w:ascii="Calibri" w:hAnsi="Calibri"/>
          <w:bCs/>
          <w:sz w:val="22"/>
          <w:szCs w:val="22"/>
          <w:lang w:val="es-ES"/>
        </w:rPr>
        <w:t>u</w:t>
      </w:r>
      <w:r w:rsidRPr="009D3738">
        <w:rPr>
          <w:rFonts w:ascii="Calibri" w:hAnsi="Calibri"/>
          <w:bCs/>
          <w:sz w:val="22"/>
          <w:szCs w:val="22"/>
          <w:lang w:val="es-ES"/>
        </w:rPr>
        <w:t>n índice basado en ocho preguntas</w:t>
      </w:r>
      <w:r>
        <w:rPr>
          <w:rFonts w:ascii="Calibri" w:hAnsi="Calibri"/>
          <w:bCs/>
          <w:sz w:val="22"/>
          <w:szCs w:val="22"/>
          <w:lang w:val="es-ES"/>
        </w:rPr>
        <w:t>… como pueden ver hay muchas posibilidades aquí de usar escalas o índices pero no sé bien si es lo que les va ser útil a ustedes…</w:t>
      </w:r>
    </w:p>
    <w:p w14:paraId="77359049" w14:textId="77777777" w:rsidR="00C62C20" w:rsidRDefault="00C62C20" w:rsidP="00C62C20">
      <w:pPr>
        <w:rPr>
          <w:rFonts w:ascii="Calibri" w:hAnsi="Calibri"/>
          <w:bCs/>
          <w:sz w:val="22"/>
          <w:szCs w:val="22"/>
          <w:lang w:val="es-ES"/>
        </w:rPr>
      </w:pPr>
    </w:p>
    <w:p w14:paraId="6AD2F71F" w14:textId="7FA7FA17" w:rsidR="00C62C20" w:rsidRDefault="00C62C20" w:rsidP="00681D63">
      <w:pPr>
        <w:rPr>
          <w:rFonts w:ascii="Calibri" w:hAnsi="Calibri"/>
          <w:bCs/>
          <w:sz w:val="22"/>
          <w:szCs w:val="22"/>
          <w:lang w:val="es-ES"/>
        </w:rPr>
      </w:pPr>
      <w:r>
        <w:rPr>
          <w:rFonts w:ascii="Calibri" w:hAnsi="Calibri"/>
          <w:bCs/>
          <w:sz w:val="22"/>
          <w:szCs w:val="22"/>
          <w:lang w:val="es-ES"/>
        </w:rPr>
        <w:t xml:space="preserve">Más abajo he puesto unos estudio que me parecieron interesantes sobre conocimiento ecológico y los valores asociados con estos conocimientos. Hay un estudio interesante y puede ser muy relevante </w:t>
      </w:r>
      <w:r w:rsidRPr="00C62C20">
        <w:rPr>
          <w:rFonts w:ascii="Calibri" w:hAnsi="Calibri"/>
          <w:bCs/>
          <w:sz w:val="22"/>
          <w:szCs w:val="22"/>
          <w:lang w:val="es-ES"/>
        </w:rPr>
        <w:t xml:space="preserve">de </w:t>
      </w:r>
      <w:r w:rsidRPr="00C62C20">
        <w:rPr>
          <w:rFonts w:ascii="Calibri" w:hAnsi="Calibri"/>
          <w:bCs/>
          <w:sz w:val="22"/>
          <w:szCs w:val="22"/>
        </w:rPr>
        <w:t>Cruz-Garcia</w:t>
      </w:r>
      <w:r>
        <w:rPr>
          <w:rFonts w:ascii="Calibri" w:hAnsi="Calibri"/>
          <w:bCs/>
          <w:sz w:val="22"/>
          <w:szCs w:val="22"/>
        </w:rPr>
        <w:t xml:space="preserve"> y Howard ‘I used to be ashamed’ que </w:t>
      </w:r>
      <w:proofErr w:type="spellStart"/>
      <w:r>
        <w:rPr>
          <w:rFonts w:ascii="Calibri" w:hAnsi="Calibri"/>
          <w:bCs/>
          <w:sz w:val="22"/>
          <w:szCs w:val="22"/>
        </w:rPr>
        <w:t>incluje</w:t>
      </w:r>
      <w:proofErr w:type="spellEnd"/>
      <w:r>
        <w:rPr>
          <w:rFonts w:ascii="Calibri" w:hAnsi="Calibri"/>
          <w:bCs/>
          <w:sz w:val="22"/>
          <w:szCs w:val="22"/>
        </w:rPr>
        <w:t xml:space="preserve"> un ‘test’ para </w:t>
      </w:r>
      <w:proofErr w:type="spellStart"/>
      <w:r>
        <w:rPr>
          <w:rFonts w:ascii="Calibri" w:hAnsi="Calibri"/>
          <w:bCs/>
          <w:sz w:val="22"/>
          <w:szCs w:val="22"/>
        </w:rPr>
        <w:t>medir</w:t>
      </w:r>
      <w:proofErr w:type="spellEnd"/>
      <w:r>
        <w:rPr>
          <w:rFonts w:ascii="Calibri" w:hAnsi="Calibri"/>
          <w:bCs/>
          <w:sz w:val="22"/>
          <w:szCs w:val="22"/>
        </w:rPr>
        <w:t xml:space="preserve"> los </w:t>
      </w:r>
      <w:proofErr w:type="spellStart"/>
      <w:r>
        <w:rPr>
          <w:rFonts w:ascii="Calibri" w:hAnsi="Calibri"/>
          <w:bCs/>
          <w:sz w:val="22"/>
          <w:szCs w:val="22"/>
        </w:rPr>
        <w:t>conocimientos</w:t>
      </w:r>
      <w:proofErr w:type="spellEnd"/>
      <w:r>
        <w:rPr>
          <w:rFonts w:ascii="Calibri" w:hAnsi="Calibri"/>
          <w:bCs/>
          <w:sz w:val="22"/>
          <w:szCs w:val="22"/>
        </w:rPr>
        <w:t xml:space="preserve"> de </w:t>
      </w:r>
      <w:proofErr w:type="spellStart"/>
      <w:r>
        <w:rPr>
          <w:rFonts w:ascii="Calibri" w:hAnsi="Calibri"/>
          <w:bCs/>
          <w:sz w:val="22"/>
          <w:szCs w:val="22"/>
        </w:rPr>
        <w:t>plantas</w:t>
      </w:r>
      <w:proofErr w:type="spellEnd"/>
      <w:r>
        <w:rPr>
          <w:rFonts w:ascii="Calibri" w:hAnsi="Calibri"/>
          <w:bCs/>
          <w:sz w:val="22"/>
          <w:szCs w:val="22"/>
        </w:rPr>
        <w:t xml:space="preserve"> comestibles </w:t>
      </w:r>
      <w:proofErr w:type="spellStart"/>
      <w:r>
        <w:rPr>
          <w:rFonts w:ascii="Calibri" w:hAnsi="Calibri"/>
          <w:bCs/>
          <w:sz w:val="22"/>
          <w:szCs w:val="22"/>
        </w:rPr>
        <w:t>silvestres</w:t>
      </w:r>
      <w:proofErr w:type="spellEnd"/>
      <w:r>
        <w:rPr>
          <w:rFonts w:ascii="Calibri" w:hAnsi="Calibri"/>
          <w:bCs/>
          <w:sz w:val="22"/>
          <w:szCs w:val="22"/>
        </w:rPr>
        <w:t xml:space="preserve">, </w:t>
      </w:r>
      <w:proofErr w:type="spellStart"/>
      <w:r>
        <w:rPr>
          <w:rFonts w:ascii="Calibri" w:hAnsi="Calibri"/>
          <w:bCs/>
          <w:sz w:val="22"/>
          <w:szCs w:val="22"/>
        </w:rPr>
        <w:t>pero</w:t>
      </w:r>
      <w:proofErr w:type="spellEnd"/>
      <w:r>
        <w:rPr>
          <w:rFonts w:ascii="Calibri" w:hAnsi="Calibri"/>
          <w:bCs/>
          <w:sz w:val="22"/>
          <w:szCs w:val="22"/>
        </w:rPr>
        <w:t xml:space="preserve"> </w:t>
      </w:r>
      <w:proofErr w:type="spellStart"/>
      <w:r>
        <w:rPr>
          <w:rFonts w:ascii="Calibri" w:hAnsi="Calibri"/>
          <w:bCs/>
          <w:sz w:val="22"/>
          <w:szCs w:val="22"/>
        </w:rPr>
        <w:t>tambien</w:t>
      </w:r>
      <w:proofErr w:type="spellEnd"/>
      <w:r>
        <w:rPr>
          <w:rFonts w:ascii="Calibri" w:hAnsi="Calibri"/>
          <w:bCs/>
          <w:sz w:val="22"/>
          <w:szCs w:val="22"/>
        </w:rPr>
        <w:t xml:space="preserve"> </w:t>
      </w:r>
      <w:proofErr w:type="spellStart"/>
      <w:r>
        <w:rPr>
          <w:rFonts w:ascii="Calibri" w:hAnsi="Calibri"/>
          <w:bCs/>
          <w:sz w:val="22"/>
          <w:szCs w:val="22"/>
        </w:rPr>
        <w:t>preguntas</w:t>
      </w:r>
      <w:proofErr w:type="spellEnd"/>
      <w:r>
        <w:rPr>
          <w:rFonts w:ascii="Calibri" w:hAnsi="Calibri"/>
          <w:bCs/>
          <w:sz w:val="22"/>
          <w:szCs w:val="22"/>
        </w:rPr>
        <w:t xml:space="preserve"> </w:t>
      </w:r>
      <w:proofErr w:type="spellStart"/>
      <w:r>
        <w:rPr>
          <w:rFonts w:ascii="Calibri" w:hAnsi="Calibri"/>
          <w:bCs/>
          <w:sz w:val="22"/>
          <w:szCs w:val="22"/>
        </w:rPr>
        <w:t>sobre</w:t>
      </w:r>
      <w:proofErr w:type="spellEnd"/>
      <w:r>
        <w:rPr>
          <w:rFonts w:ascii="Calibri" w:hAnsi="Calibri"/>
          <w:bCs/>
          <w:sz w:val="22"/>
          <w:szCs w:val="22"/>
        </w:rPr>
        <w:t xml:space="preserve"> </w:t>
      </w:r>
      <w:r w:rsidRPr="00C62C20">
        <w:rPr>
          <w:rFonts w:ascii="Calibri" w:hAnsi="Calibri"/>
          <w:bCs/>
          <w:sz w:val="22"/>
          <w:szCs w:val="22"/>
          <w:lang w:val="es-ES"/>
        </w:rPr>
        <w:t>las percepciones de los niños sobre las actitudes de otros hacia la</w:t>
      </w:r>
      <w:r>
        <w:rPr>
          <w:rFonts w:ascii="Calibri" w:hAnsi="Calibri"/>
          <w:bCs/>
          <w:sz w:val="22"/>
          <w:szCs w:val="22"/>
          <w:lang w:val="es-ES"/>
        </w:rPr>
        <w:t>s</w:t>
      </w:r>
      <w:r w:rsidRPr="00C62C20">
        <w:rPr>
          <w:rFonts w:ascii="Calibri" w:hAnsi="Calibri"/>
          <w:bCs/>
          <w:sz w:val="22"/>
          <w:szCs w:val="22"/>
          <w:lang w:val="es-ES"/>
        </w:rPr>
        <w:t xml:space="preserve"> planta</w:t>
      </w:r>
      <w:r>
        <w:rPr>
          <w:rFonts w:ascii="Calibri" w:hAnsi="Calibri"/>
          <w:bCs/>
          <w:sz w:val="22"/>
          <w:szCs w:val="22"/>
          <w:lang w:val="es-ES"/>
        </w:rPr>
        <w:t>s</w:t>
      </w:r>
      <w:r w:rsidRPr="00C62C20">
        <w:rPr>
          <w:rFonts w:ascii="Calibri" w:hAnsi="Calibri"/>
          <w:bCs/>
          <w:sz w:val="22"/>
          <w:szCs w:val="22"/>
          <w:lang w:val="es-ES"/>
        </w:rPr>
        <w:t xml:space="preserve"> </w:t>
      </w:r>
      <w:r>
        <w:rPr>
          <w:rFonts w:ascii="Calibri" w:hAnsi="Calibri"/>
          <w:bCs/>
          <w:sz w:val="22"/>
          <w:szCs w:val="22"/>
          <w:lang w:val="es-ES"/>
        </w:rPr>
        <w:t>comestibles</w:t>
      </w:r>
      <w:r w:rsidRPr="00C62C20">
        <w:rPr>
          <w:rFonts w:ascii="Calibri" w:hAnsi="Calibri"/>
          <w:bCs/>
          <w:sz w:val="22"/>
          <w:szCs w:val="22"/>
          <w:lang w:val="es-ES"/>
        </w:rPr>
        <w:t xml:space="preserve"> silvestres</w:t>
      </w:r>
      <w:r>
        <w:rPr>
          <w:rFonts w:ascii="Calibri" w:hAnsi="Calibri"/>
          <w:bCs/>
          <w:sz w:val="22"/>
          <w:szCs w:val="22"/>
          <w:lang w:val="es-ES"/>
        </w:rPr>
        <w:t>.</w:t>
      </w:r>
      <w:r w:rsidR="00681D63">
        <w:rPr>
          <w:rFonts w:ascii="Calibri" w:hAnsi="Calibri"/>
          <w:bCs/>
          <w:sz w:val="22"/>
          <w:szCs w:val="22"/>
          <w:lang w:val="es-ES"/>
        </w:rPr>
        <w:t xml:space="preserve"> Hacia el final, hay un articulo de </w:t>
      </w:r>
      <w:proofErr w:type="spellStart"/>
      <w:r w:rsidR="00681D63" w:rsidRPr="00681D63">
        <w:rPr>
          <w:rFonts w:ascii="Calibri" w:hAnsi="Calibri"/>
          <w:bCs/>
          <w:sz w:val="22"/>
          <w:szCs w:val="22"/>
          <w:lang w:val="es-ES"/>
        </w:rPr>
        <w:t>Schneller</w:t>
      </w:r>
      <w:proofErr w:type="spellEnd"/>
      <w:r w:rsidR="00681D63">
        <w:rPr>
          <w:rFonts w:ascii="Calibri" w:hAnsi="Calibri"/>
          <w:bCs/>
          <w:sz w:val="22"/>
          <w:szCs w:val="22"/>
          <w:lang w:val="es-ES"/>
        </w:rPr>
        <w:t xml:space="preserve"> et al. </w:t>
      </w:r>
      <w:r w:rsidR="00681D63" w:rsidRPr="00681D63">
        <w:rPr>
          <w:rFonts w:ascii="Calibri" w:hAnsi="Calibri"/>
          <w:bCs/>
          <w:sz w:val="22"/>
          <w:szCs w:val="22"/>
          <w:lang w:val="es-ES"/>
        </w:rPr>
        <w:t>‘</w:t>
      </w:r>
      <w:r w:rsidR="00681D63" w:rsidRPr="00681D63">
        <w:rPr>
          <w:rFonts w:ascii="Calibri" w:hAnsi="Calibri"/>
          <w:bCs/>
          <w:sz w:val="22"/>
          <w:szCs w:val="22"/>
        </w:rPr>
        <w:t>Measuring Children’s Environmental Attitudes and Values in Northwest Mexico’</w:t>
      </w:r>
      <w:r w:rsidR="00681D63">
        <w:rPr>
          <w:rFonts w:ascii="Calibri" w:hAnsi="Calibri"/>
          <w:bCs/>
          <w:sz w:val="22"/>
          <w:szCs w:val="22"/>
        </w:rPr>
        <w:t xml:space="preserve"> que </w:t>
      </w:r>
      <w:proofErr w:type="spellStart"/>
      <w:r w:rsidR="00681D63">
        <w:rPr>
          <w:rFonts w:ascii="Calibri" w:hAnsi="Calibri"/>
          <w:bCs/>
          <w:sz w:val="22"/>
          <w:szCs w:val="22"/>
        </w:rPr>
        <w:t>usa</w:t>
      </w:r>
      <w:proofErr w:type="spellEnd"/>
      <w:r w:rsidR="00681D63">
        <w:rPr>
          <w:rFonts w:ascii="Calibri" w:hAnsi="Calibri"/>
          <w:bCs/>
          <w:sz w:val="22"/>
          <w:szCs w:val="22"/>
        </w:rPr>
        <w:t xml:space="preserve"> </w:t>
      </w:r>
      <w:proofErr w:type="spellStart"/>
      <w:r w:rsidR="00681D63">
        <w:rPr>
          <w:rFonts w:ascii="Calibri" w:hAnsi="Calibri"/>
          <w:bCs/>
          <w:sz w:val="22"/>
          <w:szCs w:val="22"/>
        </w:rPr>
        <w:t>una</w:t>
      </w:r>
      <w:proofErr w:type="spellEnd"/>
      <w:r w:rsidR="00681D63">
        <w:rPr>
          <w:rFonts w:ascii="Calibri" w:hAnsi="Calibri"/>
          <w:bCs/>
          <w:sz w:val="22"/>
          <w:szCs w:val="22"/>
        </w:rPr>
        <w:t xml:space="preserve"> </w:t>
      </w:r>
      <w:proofErr w:type="spellStart"/>
      <w:r w:rsidR="00681D63">
        <w:rPr>
          <w:rFonts w:ascii="Calibri" w:hAnsi="Calibri"/>
          <w:bCs/>
          <w:sz w:val="22"/>
          <w:szCs w:val="22"/>
        </w:rPr>
        <w:t>escala</w:t>
      </w:r>
      <w:proofErr w:type="spellEnd"/>
      <w:r w:rsidR="00681D63">
        <w:rPr>
          <w:rFonts w:ascii="Calibri" w:hAnsi="Calibri"/>
          <w:bCs/>
          <w:sz w:val="22"/>
          <w:szCs w:val="22"/>
        </w:rPr>
        <w:t xml:space="preserve"> </w:t>
      </w:r>
      <w:proofErr w:type="spellStart"/>
      <w:r w:rsidR="00681D63">
        <w:rPr>
          <w:rFonts w:ascii="Calibri" w:hAnsi="Calibri"/>
          <w:bCs/>
          <w:sz w:val="22"/>
          <w:szCs w:val="22"/>
        </w:rPr>
        <w:t>sobre</w:t>
      </w:r>
      <w:proofErr w:type="spellEnd"/>
      <w:r w:rsidR="00681D63">
        <w:rPr>
          <w:rFonts w:ascii="Calibri" w:hAnsi="Calibri"/>
          <w:bCs/>
          <w:sz w:val="22"/>
          <w:szCs w:val="22"/>
        </w:rPr>
        <w:t xml:space="preserve"> </w:t>
      </w:r>
      <w:proofErr w:type="spellStart"/>
      <w:r w:rsidR="00681D63">
        <w:rPr>
          <w:rFonts w:ascii="Calibri" w:hAnsi="Calibri"/>
          <w:bCs/>
          <w:sz w:val="22"/>
          <w:szCs w:val="22"/>
        </w:rPr>
        <w:t>valores</w:t>
      </w:r>
      <w:proofErr w:type="spellEnd"/>
      <w:r w:rsidR="00681D63">
        <w:rPr>
          <w:rFonts w:ascii="Calibri" w:hAnsi="Calibri"/>
          <w:bCs/>
          <w:sz w:val="22"/>
          <w:szCs w:val="22"/>
        </w:rPr>
        <w:t xml:space="preserve"> </w:t>
      </w:r>
      <w:proofErr w:type="spellStart"/>
      <w:r w:rsidR="00681D63">
        <w:rPr>
          <w:rFonts w:ascii="Calibri" w:hAnsi="Calibri"/>
          <w:bCs/>
          <w:sz w:val="22"/>
          <w:szCs w:val="22"/>
        </w:rPr>
        <w:t>ecologicos</w:t>
      </w:r>
      <w:proofErr w:type="spellEnd"/>
      <w:r w:rsidR="00681D63">
        <w:rPr>
          <w:rFonts w:ascii="Calibri" w:hAnsi="Calibri"/>
          <w:bCs/>
          <w:sz w:val="22"/>
          <w:szCs w:val="22"/>
        </w:rPr>
        <w:t xml:space="preserve"> con </w:t>
      </w:r>
      <w:proofErr w:type="spellStart"/>
      <w:r w:rsidR="00681D63">
        <w:rPr>
          <w:rFonts w:ascii="Calibri" w:hAnsi="Calibri"/>
          <w:bCs/>
          <w:sz w:val="22"/>
          <w:szCs w:val="22"/>
        </w:rPr>
        <w:t>varias</w:t>
      </w:r>
      <w:proofErr w:type="spellEnd"/>
      <w:r w:rsidR="00681D63">
        <w:rPr>
          <w:rFonts w:ascii="Calibri" w:hAnsi="Calibri"/>
          <w:bCs/>
          <w:sz w:val="22"/>
          <w:szCs w:val="22"/>
        </w:rPr>
        <w:t xml:space="preserve"> </w:t>
      </w:r>
      <w:proofErr w:type="spellStart"/>
      <w:r w:rsidR="00681D63">
        <w:rPr>
          <w:rFonts w:ascii="Calibri" w:hAnsi="Calibri"/>
          <w:bCs/>
          <w:sz w:val="22"/>
          <w:szCs w:val="22"/>
        </w:rPr>
        <w:t>preguntas</w:t>
      </w:r>
      <w:proofErr w:type="spellEnd"/>
      <w:r w:rsidR="00681D63">
        <w:rPr>
          <w:rFonts w:ascii="Calibri" w:hAnsi="Calibri"/>
          <w:bCs/>
          <w:sz w:val="22"/>
          <w:szCs w:val="22"/>
        </w:rPr>
        <w:t xml:space="preserve"> (en </w:t>
      </w:r>
      <w:proofErr w:type="spellStart"/>
      <w:r w:rsidR="00681D63">
        <w:rPr>
          <w:rFonts w:ascii="Calibri" w:hAnsi="Calibri"/>
          <w:bCs/>
          <w:sz w:val="22"/>
          <w:szCs w:val="22"/>
        </w:rPr>
        <w:t>escala</w:t>
      </w:r>
      <w:proofErr w:type="spellEnd"/>
      <w:r w:rsidR="00681D63">
        <w:rPr>
          <w:rFonts w:ascii="Calibri" w:hAnsi="Calibri"/>
          <w:bCs/>
          <w:sz w:val="22"/>
          <w:szCs w:val="22"/>
        </w:rPr>
        <w:t xml:space="preserve"> Likert). </w:t>
      </w:r>
      <w:proofErr w:type="spellStart"/>
      <w:r w:rsidR="00681D63">
        <w:rPr>
          <w:rFonts w:ascii="Calibri" w:hAnsi="Calibri"/>
          <w:bCs/>
          <w:sz w:val="22"/>
          <w:szCs w:val="22"/>
        </w:rPr>
        <w:t>Esto</w:t>
      </w:r>
      <w:proofErr w:type="spellEnd"/>
      <w:r w:rsidR="00681D63">
        <w:rPr>
          <w:rFonts w:ascii="Calibri" w:hAnsi="Calibri"/>
          <w:bCs/>
          <w:sz w:val="22"/>
          <w:szCs w:val="22"/>
        </w:rPr>
        <w:t xml:space="preserve"> </w:t>
      </w:r>
      <w:proofErr w:type="spellStart"/>
      <w:r w:rsidR="00681D63">
        <w:rPr>
          <w:rFonts w:ascii="Calibri" w:hAnsi="Calibri"/>
          <w:bCs/>
          <w:sz w:val="22"/>
          <w:szCs w:val="22"/>
        </w:rPr>
        <w:t>es</w:t>
      </w:r>
      <w:proofErr w:type="spellEnd"/>
      <w:r w:rsidR="00681D63">
        <w:rPr>
          <w:rFonts w:ascii="Calibri" w:hAnsi="Calibri"/>
          <w:bCs/>
          <w:sz w:val="22"/>
          <w:szCs w:val="22"/>
        </w:rPr>
        <w:t xml:space="preserve"> </w:t>
      </w:r>
      <w:proofErr w:type="spellStart"/>
      <w:r w:rsidR="00681D63">
        <w:rPr>
          <w:rFonts w:ascii="Calibri" w:hAnsi="Calibri"/>
          <w:bCs/>
          <w:sz w:val="22"/>
          <w:szCs w:val="22"/>
        </w:rPr>
        <w:t>parecido</w:t>
      </w:r>
      <w:proofErr w:type="spellEnd"/>
      <w:r w:rsidR="00681D63">
        <w:rPr>
          <w:rFonts w:ascii="Calibri" w:hAnsi="Calibri"/>
          <w:bCs/>
          <w:sz w:val="22"/>
          <w:szCs w:val="22"/>
        </w:rPr>
        <w:t xml:space="preserve"> a </w:t>
      </w:r>
      <w:proofErr w:type="spellStart"/>
      <w:r w:rsidR="00681D63">
        <w:rPr>
          <w:rFonts w:ascii="Calibri" w:hAnsi="Calibri"/>
          <w:bCs/>
          <w:sz w:val="22"/>
          <w:szCs w:val="22"/>
        </w:rPr>
        <w:t>muchos</w:t>
      </w:r>
      <w:proofErr w:type="spellEnd"/>
      <w:r w:rsidR="00681D63">
        <w:rPr>
          <w:rFonts w:ascii="Calibri" w:hAnsi="Calibri"/>
          <w:bCs/>
          <w:sz w:val="22"/>
          <w:szCs w:val="22"/>
        </w:rPr>
        <w:t xml:space="preserve"> de los </w:t>
      </w:r>
      <w:proofErr w:type="spellStart"/>
      <w:r w:rsidR="00681D63">
        <w:rPr>
          <w:rFonts w:ascii="Calibri" w:hAnsi="Calibri"/>
          <w:bCs/>
          <w:sz w:val="22"/>
          <w:szCs w:val="22"/>
        </w:rPr>
        <w:t>ejemplos</w:t>
      </w:r>
      <w:proofErr w:type="spellEnd"/>
      <w:r w:rsidR="00681D63">
        <w:rPr>
          <w:rFonts w:ascii="Calibri" w:hAnsi="Calibri"/>
          <w:bCs/>
          <w:sz w:val="22"/>
          <w:szCs w:val="22"/>
        </w:rPr>
        <w:t xml:space="preserve"> de </w:t>
      </w:r>
      <w:proofErr w:type="spellStart"/>
      <w:r w:rsidR="00681D63">
        <w:rPr>
          <w:rFonts w:ascii="Calibri" w:hAnsi="Calibri"/>
          <w:bCs/>
          <w:sz w:val="22"/>
          <w:szCs w:val="22"/>
        </w:rPr>
        <w:t>escalas</w:t>
      </w:r>
      <w:proofErr w:type="spellEnd"/>
      <w:r w:rsidR="00681D63">
        <w:rPr>
          <w:rFonts w:ascii="Calibri" w:hAnsi="Calibri"/>
          <w:bCs/>
          <w:sz w:val="22"/>
          <w:szCs w:val="22"/>
        </w:rPr>
        <w:t xml:space="preserve"> de </w:t>
      </w:r>
      <w:r w:rsidR="00681D63">
        <w:rPr>
          <w:rFonts w:ascii="Calibri" w:hAnsi="Calibri"/>
          <w:bCs/>
          <w:sz w:val="22"/>
          <w:szCs w:val="22"/>
          <w:lang w:val="es-ES"/>
        </w:rPr>
        <w:t>a</w:t>
      </w:r>
      <w:r w:rsidR="00681D63" w:rsidRPr="00681D63">
        <w:rPr>
          <w:rFonts w:ascii="Calibri" w:hAnsi="Calibri"/>
          <w:bCs/>
          <w:sz w:val="22"/>
          <w:szCs w:val="22"/>
          <w:lang w:val="es-ES"/>
        </w:rPr>
        <w:t>culturación</w:t>
      </w:r>
      <w:r w:rsidR="00681D63">
        <w:rPr>
          <w:rFonts w:ascii="Calibri" w:hAnsi="Calibri"/>
          <w:bCs/>
          <w:sz w:val="22"/>
          <w:szCs w:val="22"/>
          <w:lang w:val="es-ES"/>
        </w:rPr>
        <w:t>.</w:t>
      </w:r>
      <w:r w:rsidR="003F3E41">
        <w:rPr>
          <w:rFonts w:ascii="Calibri" w:hAnsi="Calibri"/>
          <w:bCs/>
          <w:sz w:val="22"/>
          <w:szCs w:val="22"/>
          <w:lang w:val="es-ES"/>
        </w:rPr>
        <w:tab/>
      </w:r>
    </w:p>
    <w:p w14:paraId="212A3927" w14:textId="77777777" w:rsidR="00E97A6E" w:rsidRPr="00681D63" w:rsidRDefault="00E97A6E" w:rsidP="00681D63">
      <w:pPr>
        <w:rPr>
          <w:rFonts w:ascii="Calibri" w:hAnsi="Calibri"/>
          <w:bCs/>
          <w:sz w:val="22"/>
          <w:szCs w:val="22"/>
        </w:rPr>
      </w:pPr>
    </w:p>
    <w:p w14:paraId="2E755B40" w14:textId="31ED39FE" w:rsidR="007664A3" w:rsidRPr="00EC4890" w:rsidRDefault="002A35EC" w:rsidP="00127324">
      <w:pPr>
        <w:pStyle w:val="Heading1"/>
        <w:shd w:val="clear" w:color="auto" w:fill="F4B083" w:themeFill="accent2" w:themeFillTint="99"/>
      </w:pPr>
      <w:r>
        <w:t>Acculturation</w:t>
      </w:r>
    </w:p>
    <w:p w14:paraId="5B5EA797" w14:textId="33E9B987" w:rsidR="006928A1" w:rsidRPr="006928A1" w:rsidRDefault="006928A1">
      <w:pPr>
        <w:rPr>
          <w:rFonts w:ascii="Calibri" w:hAnsi="Calibri"/>
          <w:sz w:val="22"/>
          <w:szCs w:val="22"/>
          <w:lang w:val="es-ES"/>
        </w:rPr>
      </w:pPr>
    </w:p>
    <w:p w14:paraId="4403A85C" w14:textId="77777777" w:rsidR="006928A1" w:rsidRDefault="006928A1">
      <w:pPr>
        <w:rPr>
          <w:lang w:val="en-GB"/>
        </w:rPr>
      </w:pPr>
    </w:p>
    <w:p w14:paraId="31BA562C" w14:textId="06BDADC1" w:rsidR="00BF0B80" w:rsidRPr="00BF0B80" w:rsidRDefault="00BF0B80" w:rsidP="00127324">
      <w:pPr>
        <w:shd w:val="clear" w:color="auto" w:fill="FBE4D5" w:themeFill="accent2" w:themeFillTint="33"/>
        <w:rPr>
          <w:b/>
        </w:rPr>
      </w:pPr>
      <w:proofErr w:type="spellStart"/>
      <w:r w:rsidRPr="00BF0B80">
        <w:rPr>
          <w:b/>
        </w:rPr>
        <w:t>Guarnaccia</w:t>
      </w:r>
      <w:proofErr w:type="spellEnd"/>
      <w:r w:rsidRPr="00BF0B80">
        <w:rPr>
          <w:b/>
        </w:rPr>
        <w:t xml:space="preserve">, P. J. &amp; Hausmann-Stabile, C. (2016) Acculturation and Its Discontents: A Case for Bringing Anthropology Back into the Conversation, </w:t>
      </w:r>
      <w:r w:rsidRPr="00BF0B80">
        <w:rPr>
          <w:b/>
          <w:i/>
          <w:iCs/>
        </w:rPr>
        <w:t xml:space="preserve">Sociology and Anthropology </w:t>
      </w:r>
      <w:r w:rsidRPr="00BF0B80">
        <w:rPr>
          <w:b/>
        </w:rPr>
        <w:t>4(2), p. 114.</w:t>
      </w:r>
    </w:p>
    <w:p w14:paraId="377FD558" w14:textId="77777777" w:rsidR="00EC4890" w:rsidRDefault="004B3E14">
      <w:pPr>
        <w:rPr>
          <w:lang w:val="en-GB"/>
        </w:rPr>
      </w:pPr>
      <w:hyperlink r:id="rId5" w:history="1">
        <w:r w:rsidR="00FE0608" w:rsidRPr="00F50029">
          <w:rPr>
            <w:rStyle w:val="Hyperlink"/>
            <w:lang w:val="en-GB"/>
          </w:rPr>
          <w:t>https://www.ncbi.nlm.nih.gov/pmc/articles/PMC5008869/</w:t>
        </w:r>
      </w:hyperlink>
    </w:p>
    <w:p w14:paraId="3E286D81" w14:textId="77777777" w:rsidR="00FE0608" w:rsidRDefault="00FE0608">
      <w:pPr>
        <w:rPr>
          <w:lang w:val="en-GB"/>
        </w:rPr>
      </w:pPr>
    </w:p>
    <w:p w14:paraId="2FFDD437" w14:textId="77777777" w:rsidR="00EC4890" w:rsidRPr="009B2CAE" w:rsidRDefault="00EC4890" w:rsidP="00EC4890">
      <w:pPr>
        <w:rPr>
          <w:sz w:val="22"/>
        </w:rPr>
      </w:pPr>
      <w:r w:rsidRPr="009B2CAE">
        <w:rPr>
          <w:sz w:val="22"/>
          <w:szCs w:val="22"/>
        </w:rPr>
        <w:t>“</w:t>
      </w:r>
      <w:r w:rsidRPr="00127324">
        <w:rPr>
          <w:sz w:val="22"/>
          <w:szCs w:val="22"/>
          <w:u w:val="single"/>
        </w:rPr>
        <w:t>A</w:t>
      </w:r>
      <w:r w:rsidRPr="00127324">
        <w:rPr>
          <w:sz w:val="22"/>
          <w:u w:val="single"/>
        </w:rPr>
        <w:t>cculturation scales should be altogether abandoned, as clearly no single scale can capture these processes</w:t>
      </w:r>
      <w:r w:rsidRPr="009B2CAE">
        <w:rPr>
          <w:sz w:val="22"/>
        </w:rPr>
        <w:t>. In much of current acculturation research there has grown to be a tyranny of acculturation scales that make false promises about taking account of participants’ “culture” in the research. This approach is counter-productive for moving acculturation research forward.”</w:t>
      </w:r>
    </w:p>
    <w:p w14:paraId="37C32077" w14:textId="77777777" w:rsidR="00FE0608" w:rsidRPr="00EC4890" w:rsidRDefault="00FE0608" w:rsidP="00EC4890"/>
    <w:p w14:paraId="7F869999" w14:textId="70AE38A4" w:rsidR="00BF0B80" w:rsidRPr="00BF0B80" w:rsidRDefault="00BF0B80" w:rsidP="00127324">
      <w:pPr>
        <w:shd w:val="clear" w:color="auto" w:fill="FBE4D5" w:themeFill="accent2" w:themeFillTint="33"/>
        <w:rPr>
          <w:b/>
          <w:bCs/>
        </w:rPr>
      </w:pPr>
      <w:r w:rsidRPr="00BF0B80">
        <w:rPr>
          <w:b/>
          <w:bCs/>
        </w:rPr>
        <w:t xml:space="preserve">Reyes-García, V. et al. (2014) Cultural Change and Traditional Ecological Knowledge: An Empirical Analysis from the </w:t>
      </w:r>
      <w:proofErr w:type="spellStart"/>
      <w:r w:rsidRPr="00BF0B80">
        <w:rPr>
          <w:b/>
          <w:bCs/>
        </w:rPr>
        <w:t>Tsimane</w:t>
      </w:r>
      <w:proofErr w:type="spellEnd"/>
      <w:r w:rsidRPr="00BF0B80">
        <w:rPr>
          <w:b/>
          <w:bCs/>
        </w:rPr>
        <w:t>’</w:t>
      </w:r>
      <w:r w:rsidR="00127324">
        <w:rPr>
          <w:b/>
          <w:bCs/>
        </w:rPr>
        <w:t xml:space="preserve"> </w:t>
      </w:r>
      <w:r w:rsidRPr="00BF0B80">
        <w:rPr>
          <w:b/>
          <w:bCs/>
        </w:rPr>
        <w:t xml:space="preserve">in the Bolivian Amazon, </w:t>
      </w:r>
      <w:r w:rsidRPr="00BF0B80">
        <w:rPr>
          <w:b/>
          <w:bCs/>
          <w:i/>
          <w:iCs/>
        </w:rPr>
        <w:t>Human Organization</w:t>
      </w:r>
      <w:r w:rsidRPr="00BF0B80">
        <w:rPr>
          <w:b/>
          <w:bCs/>
        </w:rPr>
        <w:t>, 73(2), pp. 162–173.</w:t>
      </w:r>
    </w:p>
    <w:p w14:paraId="3A4B13FA" w14:textId="77777777" w:rsidR="00FE0608" w:rsidRDefault="004B3E14" w:rsidP="00FE0608">
      <w:pPr>
        <w:rPr>
          <w:bCs/>
        </w:rPr>
      </w:pPr>
      <w:hyperlink r:id="rId6" w:anchor="R10" w:history="1">
        <w:r w:rsidR="00FE0608" w:rsidRPr="00F50029">
          <w:rPr>
            <w:rStyle w:val="Hyperlink"/>
            <w:bCs/>
          </w:rPr>
          <w:t>https://www.ncbi.nlm.nih.gov/pmc/articles/PMC5026296/#R10</w:t>
        </w:r>
      </w:hyperlink>
    </w:p>
    <w:p w14:paraId="6D4A4345" w14:textId="77777777" w:rsidR="00FE0608" w:rsidRDefault="00FE0608" w:rsidP="00FE0608">
      <w:pPr>
        <w:rPr>
          <w:bCs/>
        </w:rPr>
      </w:pPr>
    </w:p>
    <w:p w14:paraId="5503AC05" w14:textId="77777777" w:rsidR="00FE0608" w:rsidRPr="009B2CAE" w:rsidRDefault="00FE0608" w:rsidP="00FE0608">
      <w:pPr>
        <w:rPr>
          <w:bCs/>
          <w:sz w:val="22"/>
        </w:rPr>
      </w:pPr>
      <w:r w:rsidRPr="009B2CAE">
        <w:rPr>
          <w:bCs/>
          <w:sz w:val="22"/>
        </w:rPr>
        <w:t xml:space="preserve">3.3. </w:t>
      </w:r>
      <w:r w:rsidRPr="00127324">
        <w:rPr>
          <w:bCs/>
          <w:sz w:val="22"/>
          <w:u w:val="single"/>
        </w:rPr>
        <w:t>Individual-level cultural change</w:t>
      </w:r>
    </w:p>
    <w:p w14:paraId="2937AA2D" w14:textId="180FBA4F" w:rsidR="00BC5CB7" w:rsidRPr="00681D63" w:rsidRDefault="00FE0608" w:rsidP="00FE0608">
      <w:pPr>
        <w:rPr>
          <w:rFonts w:ascii="Calibri" w:eastAsia="Times New Roman" w:hAnsi="Calibri" w:cs="Times New Roman"/>
          <w:sz w:val="22"/>
        </w:rPr>
      </w:pPr>
      <w:r w:rsidRPr="009B2CAE">
        <w:rPr>
          <w:rFonts w:eastAsia="Times New Roman"/>
          <w:sz w:val="22"/>
        </w:rPr>
        <w:lastRenderedPageBreak/>
        <w:t>“We followed a long tradition in cross-cultural research and used a bipolar multidimensional scale that proxies for individual cultural change (</w:t>
      </w:r>
      <w:hyperlink r:id="rId7" w:anchor="R10" w:history="1">
        <w:r w:rsidRPr="009B2CAE">
          <w:rPr>
            <w:rStyle w:val="Hyperlink"/>
            <w:rFonts w:eastAsia="Times New Roman"/>
            <w:sz w:val="22"/>
          </w:rPr>
          <w:t>Cuellar, et al. 1980</w:t>
        </w:r>
      </w:hyperlink>
      <w:r w:rsidRPr="009B2CAE">
        <w:rPr>
          <w:rFonts w:eastAsia="Times New Roman"/>
          <w:sz w:val="22"/>
        </w:rPr>
        <w:t xml:space="preserve">; </w:t>
      </w:r>
      <w:hyperlink r:id="rId8" w:anchor="R37" w:history="1">
        <w:r w:rsidRPr="009B2CAE">
          <w:rPr>
            <w:rStyle w:val="Hyperlink"/>
            <w:rFonts w:eastAsia="Times New Roman"/>
            <w:sz w:val="22"/>
          </w:rPr>
          <w:t>Olmedo 1979</w:t>
        </w:r>
      </w:hyperlink>
      <w:r w:rsidRPr="009B2CAE">
        <w:rPr>
          <w:rFonts w:eastAsia="Times New Roman"/>
          <w:sz w:val="22"/>
        </w:rPr>
        <w:t xml:space="preserve">; </w:t>
      </w:r>
      <w:hyperlink r:id="rId9" w:anchor="R38" w:history="1">
        <w:r w:rsidRPr="009B2CAE">
          <w:rPr>
            <w:rStyle w:val="Hyperlink"/>
            <w:rFonts w:eastAsia="Times New Roman"/>
            <w:sz w:val="22"/>
          </w:rPr>
          <w:t>Padilla 1980</w:t>
        </w:r>
      </w:hyperlink>
      <w:r w:rsidRPr="009B2CAE">
        <w:rPr>
          <w:rFonts w:eastAsia="Times New Roman"/>
          <w:sz w:val="22"/>
        </w:rPr>
        <w:t xml:space="preserve">; </w:t>
      </w:r>
      <w:hyperlink r:id="rId10" w:anchor="R61" w:history="1">
        <w:proofErr w:type="spellStart"/>
        <w:r w:rsidRPr="009B2CAE">
          <w:rPr>
            <w:rStyle w:val="Hyperlink"/>
            <w:rFonts w:eastAsia="Times New Roman"/>
            <w:sz w:val="22"/>
          </w:rPr>
          <w:t>Szapocznik</w:t>
        </w:r>
        <w:proofErr w:type="spellEnd"/>
        <w:r w:rsidRPr="009B2CAE">
          <w:rPr>
            <w:rStyle w:val="Hyperlink"/>
            <w:rFonts w:eastAsia="Times New Roman"/>
            <w:sz w:val="22"/>
          </w:rPr>
          <w:t>, et al. 1978</w:t>
        </w:r>
      </w:hyperlink>
      <w:r w:rsidRPr="009B2CAE">
        <w:rPr>
          <w:rFonts w:eastAsia="Times New Roman"/>
          <w:sz w:val="22"/>
        </w:rPr>
        <w:t xml:space="preserve">). We selected eight topics that capture traditional </w:t>
      </w:r>
      <w:proofErr w:type="spellStart"/>
      <w:r w:rsidRPr="009B2CAE">
        <w:rPr>
          <w:rFonts w:eastAsia="Times New Roman"/>
          <w:sz w:val="22"/>
        </w:rPr>
        <w:t>Tsimane</w:t>
      </w:r>
      <w:proofErr w:type="spellEnd"/>
      <w:r w:rsidRPr="009B2CAE">
        <w:rPr>
          <w:rFonts w:eastAsia="Times New Roman"/>
          <w:sz w:val="22"/>
        </w:rPr>
        <w:t>’ beliefs and values (</w:t>
      </w:r>
      <w:proofErr w:type="spellStart"/>
      <w:r w:rsidR="004B3E14">
        <w:rPr>
          <w:rStyle w:val="Hyperlink"/>
          <w:rFonts w:eastAsia="Times New Roman"/>
          <w:sz w:val="22"/>
        </w:rPr>
        <w:fldChar w:fldCharType="begin"/>
      </w:r>
      <w:r w:rsidR="004B3E14">
        <w:rPr>
          <w:rStyle w:val="Hyperlink"/>
          <w:rFonts w:eastAsia="Times New Roman"/>
          <w:sz w:val="22"/>
        </w:rPr>
        <w:instrText xml:space="preserve"> HYPERLINK "https://www.ncbi.nlm.nih.gov/pmc/articles/PMC5026296/" \l "R27" </w:instrText>
      </w:r>
      <w:r w:rsidR="004B3E14">
        <w:rPr>
          <w:rStyle w:val="Hyperlink"/>
          <w:rFonts w:eastAsia="Times New Roman"/>
          <w:sz w:val="22"/>
        </w:rPr>
        <w:fldChar w:fldCharType="separate"/>
      </w:r>
      <w:r w:rsidRPr="009B2CAE">
        <w:rPr>
          <w:rStyle w:val="Hyperlink"/>
          <w:rFonts w:eastAsia="Times New Roman"/>
          <w:sz w:val="22"/>
        </w:rPr>
        <w:t>Huanca</w:t>
      </w:r>
      <w:proofErr w:type="spellEnd"/>
      <w:r w:rsidRPr="009B2CAE">
        <w:rPr>
          <w:rStyle w:val="Hyperlink"/>
          <w:rFonts w:eastAsia="Times New Roman"/>
          <w:sz w:val="22"/>
        </w:rPr>
        <w:t xml:space="preserve"> 2008</w:t>
      </w:r>
      <w:r w:rsidR="004B3E14">
        <w:rPr>
          <w:rStyle w:val="Hyperlink"/>
          <w:rFonts w:eastAsia="Times New Roman"/>
          <w:sz w:val="22"/>
        </w:rPr>
        <w:fldChar w:fldCharType="end"/>
      </w:r>
      <w:r w:rsidRPr="009B2CAE">
        <w:rPr>
          <w:rFonts w:eastAsia="Times New Roman"/>
          <w:sz w:val="22"/>
        </w:rPr>
        <w:t>) and elaborated one question per topic (</w:t>
      </w:r>
      <w:hyperlink r:id="rId11" w:tgtFrame="true" w:history="1">
        <w:r w:rsidRPr="009B2CAE">
          <w:rPr>
            <w:rStyle w:val="Hyperlink"/>
            <w:rFonts w:eastAsia="Times New Roman"/>
            <w:sz w:val="22"/>
          </w:rPr>
          <w:t>Table 1</w:t>
        </w:r>
      </w:hyperlink>
      <w:r w:rsidRPr="009B2CAE">
        <w:rPr>
          <w:rFonts w:eastAsia="Times New Roman"/>
          <w:sz w:val="22"/>
        </w:rPr>
        <w:t xml:space="preserve">). Questions were presented in the form of a ladder with five steps and two scenes, one at the bottom and one at the top. The scenes represented a “traditional” vs. a “modern” </w:t>
      </w:r>
      <w:proofErr w:type="spellStart"/>
      <w:r w:rsidRPr="009B2CAE">
        <w:rPr>
          <w:rFonts w:eastAsia="Times New Roman"/>
          <w:sz w:val="22"/>
        </w:rPr>
        <w:t>Tsimane</w:t>
      </w:r>
      <w:proofErr w:type="spellEnd"/>
      <w:r w:rsidRPr="009B2CAE">
        <w:rPr>
          <w:rFonts w:eastAsia="Times New Roman"/>
          <w:sz w:val="22"/>
        </w:rPr>
        <w:t xml:space="preserve">’. Respondents were asked to indicate where they would place themselves somewhere along the ladder. For each respondent, we randomized the location of the “traditional” and of the “modern” scene. After </w:t>
      </w:r>
      <w:proofErr w:type="spellStart"/>
      <w:r w:rsidRPr="009B2CAE">
        <w:rPr>
          <w:rFonts w:eastAsia="Times New Roman"/>
          <w:sz w:val="22"/>
        </w:rPr>
        <w:t>unrandomizing</w:t>
      </w:r>
      <w:proofErr w:type="spellEnd"/>
      <w:r w:rsidRPr="009B2CAE">
        <w:rPr>
          <w:rFonts w:eastAsia="Times New Roman"/>
          <w:sz w:val="22"/>
        </w:rPr>
        <w:t xml:space="preserve"> answers, we used a measure of reliability (Cronbach’s alpha coefficient) to test for the internal consistency between answers to the eight questions. Since variables were positively associated with each other (see </w:t>
      </w:r>
      <w:hyperlink r:id="rId12" w:anchor="S10" w:history="1">
        <w:r w:rsidRPr="009B2CAE">
          <w:rPr>
            <w:rStyle w:val="Hyperlink"/>
            <w:rFonts w:eastAsia="Times New Roman"/>
            <w:sz w:val="22"/>
          </w:rPr>
          <w:t>Results</w:t>
        </w:r>
      </w:hyperlink>
      <w:r w:rsidRPr="009B2CAE">
        <w:rPr>
          <w:rFonts w:eastAsia="Times New Roman"/>
          <w:sz w:val="22"/>
        </w:rPr>
        <w:t xml:space="preserve">), we assumed that they measure parts of the same construct and added responses to the eight questions to create a new variable that we named </w:t>
      </w:r>
      <w:r w:rsidRPr="009B2CAE">
        <w:rPr>
          <w:rStyle w:val="Emphasis"/>
          <w:rFonts w:eastAsia="Times New Roman"/>
          <w:sz w:val="22"/>
        </w:rPr>
        <w:t xml:space="preserve">detachment to </w:t>
      </w:r>
      <w:r w:rsidRPr="009B2CAE">
        <w:rPr>
          <w:rStyle w:val="Emphasis"/>
          <w:rFonts w:ascii="Calibri" w:eastAsia="Times New Roman" w:hAnsi="Calibri"/>
          <w:sz w:val="22"/>
        </w:rPr>
        <w:t>tradition</w:t>
      </w:r>
      <w:r w:rsidR="00787D7C" w:rsidRPr="009B2CAE">
        <w:rPr>
          <w:rStyle w:val="Emphasis"/>
          <w:rFonts w:ascii="Calibri" w:eastAsia="Times New Roman" w:hAnsi="Calibri"/>
          <w:sz w:val="22"/>
        </w:rPr>
        <w:t xml:space="preserve"> </w:t>
      </w:r>
      <w:r w:rsidR="00787D7C" w:rsidRPr="009B2CAE">
        <w:rPr>
          <w:rStyle w:val="Emphasis"/>
          <w:rFonts w:ascii="Calibri" w:eastAsia="Times New Roman" w:hAnsi="Calibri"/>
          <w:i w:val="0"/>
          <w:sz w:val="22"/>
        </w:rPr>
        <w:t>[</w:t>
      </w:r>
      <w:r w:rsidR="00787D7C" w:rsidRPr="009B2CAE">
        <w:rPr>
          <w:rFonts w:ascii="Calibri" w:eastAsia="Times New Roman" w:hAnsi="Calibri" w:cs="Times New Roman"/>
          <w:i/>
          <w:iCs/>
          <w:sz w:val="22"/>
        </w:rPr>
        <w:t>detachment index</w:t>
      </w:r>
      <w:r w:rsidR="00787D7C" w:rsidRPr="009B2CAE">
        <w:rPr>
          <w:rFonts w:ascii="Calibri" w:eastAsia="Times New Roman" w:hAnsi="Calibri" w:cs="Times New Roman"/>
          <w:sz w:val="22"/>
        </w:rPr>
        <w:t xml:space="preserve"> (n=484)]</w:t>
      </w:r>
      <w:r w:rsidRPr="009B2CAE">
        <w:rPr>
          <w:rFonts w:ascii="Calibri" w:eastAsia="Times New Roman" w:hAnsi="Calibri"/>
          <w:sz w:val="22"/>
        </w:rPr>
        <w:t xml:space="preserve">, for which lower scores indicate more closeness to traditional </w:t>
      </w:r>
      <w:proofErr w:type="spellStart"/>
      <w:r w:rsidRPr="009B2CAE">
        <w:rPr>
          <w:rFonts w:ascii="Calibri" w:eastAsia="Times New Roman" w:hAnsi="Calibri"/>
          <w:sz w:val="22"/>
        </w:rPr>
        <w:t>Tsimane</w:t>
      </w:r>
      <w:proofErr w:type="spellEnd"/>
      <w:r w:rsidRPr="009B2CAE">
        <w:rPr>
          <w:rFonts w:ascii="Calibri" w:eastAsia="Times New Roman" w:hAnsi="Calibri"/>
          <w:sz w:val="22"/>
        </w:rPr>
        <w:t>’ beliefs and values.”</w:t>
      </w:r>
    </w:p>
    <w:p w14:paraId="57883CAA" w14:textId="77777777" w:rsidR="00BC5CB7" w:rsidRDefault="00BC5CB7" w:rsidP="00FE0608">
      <w:pPr>
        <w:rPr>
          <w:rFonts w:ascii="Calibri" w:hAnsi="Calibri"/>
          <w:bCs/>
        </w:rPr>
      </w:pPr>
    </w:p>
    <w:p w14:paraId="6E6A69B6" w14:textId="77777777" w:rsidR="00BF0B80" w:rsidRPr="00BF0B80" w:rsidRDefault="00BF0B80" w:rsidP="00127324">
      <w:pPr>
        <w:shd w:val="clear" w:color="auto" w:fill="FBE4D5" w:themeFill="accent2" w:themeFillTint="33"/>
        <w:rPr>
          <w:rFonts w:ascii="Calibri" w:hAnsi="Calibri"/>
          <w:b/>
          <w:bCs/>
        </w:rPr>
      </w:pPr>
      <w:r w:rsidRPr="00BF0B80">
        <w:rPr>
          <w:rFonts w:ascii="Calibri" w:hAnsi="Calibri"/>
          <w:b/>
          <w:bCs/>
        </w:rPr>
        <w:t xml:space="preserve">Dominguez, P., </w:t>
      </w:r>
      <w:proofErr w:type="spellStart"/>
      <w:r w:rsidRPr="00BF0B80">
        <w:rPr>
          <w:rFonts w:ascii="Calibri" w:hAnsi="Calibri"/>
          <w:b/>
          <w:bCs/>
        </w:rPr>
        <w:t>Zorondo</w:t>
      </w:r>
      <w:proofErr w:type="spellEnd"/>
      <w:r w:rsidRPr="00BF0B80">
        <w:rPr>
          <w:rFonts w:ascii="Calibri" w:hAnsi="Calibri"/>
          <w:b/>
          <w:bCs/>
        </w:rPr>
        <w:t xml:space="preserve">-Rodríguez, F. &amp; Reyes-García, V. (2010) Relationships between Religious Beliefs and Mountain Pasture Uses: A Case Study in the High Atlas Mountains of Marrakech, Morocco, </w:t>
      </w:r>
      <w:r w:rsidRPr="00BF0B80">
        <w:rPr>
          <w:rFonts w:ascii="Calibri" w:hAnsi="Calibri"/>
          <w:b/>
          <w:bCs/>
          <w:i/>
          <w:iCs/>
        </w:rPr>
        <w:t>Human Ecology</w:t>
      </w:r>
      <w:r w:rsidRPr="00BF0B80">
        <w:rPr>
          <w:rFonts w:ascii="Calibri" w:hAnsi="Calibri"/>
          <w:b/>
          <w:bCs/>
        </w:rPr>
        <w:t>, 38(3), pp. 351–362.</w:t>
      </w:r>
    </w:p>
    <w:p w14:paraId="59B990DE" w14:textId="42860C0B" w:rsidR="00A110EE" w:rsidRPr="00A110EE" w:rsidRDefault="004B3E14" w:rsidP="00FE0608">
      <w:pPr>
        <w:rPr>
          <w:rFonts w:ascii="Calibri" w:hAnsi="Calibri"/>
          <w:bCs/>
        </w:rPr>
      </w:pPr>
      <w:hyperlink r:id="rId13" w:history="1">
        <w:r w:rsidR="00A110EE" w:rsidRPr="00A110EE">
          <w:rPr>
            <w:rStyle w:val="Hyperlink"/>
            <w:rFonts w:ascii="Calibri" w:hAnsi="Calibri"/>
            <w:bCs/>
          </w:rPr>
          <w:t>https://link.springer.com/article/10.1007/s10745-010-9321-7</w:t>
        </w:r>
      </w:hyperlink>
    </w:p>
    <w:p w14:paraId="7EE72767" w14:textId="7E8EA11B" w:rsidR="00A110EE" w:rsidRDefault="00A110EE" w:rsidP="00FE0608">
      <w:pPr>
        <w:rPr>
          <w:rFonts w:ascii="Calibri" w:hAnsi="Calibri"/>
          <w:bCs/>
        </w:rPr>
      </w:pPr>
      <w:r w:rsidRPr="00A110EE">
        <w:rPr>
          <w:rFonts w:ascii="Calibri" w:hAnsi="Calibri"/>
          <w:bCs/>
        </w:rPr>
        <w:t xml:space="preserve">Full article </w:t>
      </w:r>
      <w:hyperlink r:id="rId14" w:history="1">
        <w:r w:rsidRPr="00A110EE">
          <w:rPr>
            <w:rStyle w:val="Hyperlink"/>
            <w:rFonts w:ascii="Calibri" w:hAnsi="Calibri"/>
            <w:bCs/>
          </w:rPr>
          <w:t>here</w:t>
        </w:r>
      </w:hyperlink>
    </w:p>
    <w:p w14:paraId="16C80F79" w14:textId="77777777" w:rsidR="00C006D0" w:rsidRPr="00A110EE" w:rsidRDefault="00C006D0" w:rsidP="00FE0608">
      <w:pPr>
        <w:rPr>
          <w:rFonts w:ascii="Calibri" w:hAnsi="Calibri"/>
          <w:bCs/>
        </w:rPr>
      </w:pPr>
    </w:p>
    <w:p w14:paraId="42F4D934" w14:textId="6D84D100" w:rsidR="00A110EE" w:rsidRPr="009B2CAE" w:rsidRDefault="00C006D0" w:rsidP="00A110EE">
      <w:pPr>
        <w:rPr>
          <w:rFonts w:ascii="Calibri" w:hAnsi="Calibri"/>
          <w:sz w:val="22"/>
        </w:rPr>
      </w:pPr>
      <w:r w:rsidRPr="009B2CAE">
        <w:rPr>
          <w:rFonts w:ascii="Calibri" w:hAnsi="Calibri"/>
          <w:sz w:val="22"/>
        </w:rPr>
        <w:t>Saint’s beliefs index:</w:t>
      </w:r>
    </w:p>
    <w:p w14:paraId="2E6B1A14" w14:textId="329A5045" w:rsidR="00681D63" w:rsidRPr="00681D63" w:rsidRDefault="00C006D0">
      <w:pPr>
        <w:rPr>
          <w:rFonts w:ascii="Calibri" w:hAnsi="Calibri"/>
          <w:sz w:val="22"/>
        </w:rPr>
      </w:pPr>
      <w:r w:rsidRPr="009B2CAE">
        <w:rPr>
          <w:rFonts w:ascii="Calibri" w:hAnsi="Calibri"/>
          <w:sz w:val="22"/>
        </w:rPr>
        <w:t xml:space="preserve">“Our main explanatory variable was the </w:t>
      </w:r>
      <w:r w:rsidRPr="00127324">
        <w:rPr>
          <w:rFonts w:ascii="Calibri" w:hAnsi="Calibri"/>
          <w:sz w:val="22"/>
          <w:u w:val="single"/>
        </w:rPr>
        <w:t>belief of the informants in the local Saints, measured through an index created on the basis of eight questions concerning the informants’ faith in the Saints religious tradition</w:t>
      </w:r>
      <w:r w:rsidRPr="009B2CAE">
        <w:rPr>
          <w:rFonts w:ascii="Calibri" w:hAnsi="Calibri"/>
          <w:sz w:val="22"/>
        </w:rPr>
        <w:t>. To construct the eight questions we first used ethnographic information collected during the previous 3 years of fieldwork, informal discussions, and formal focus groups…For each of the eight questions we asked informants to indicate their level of attachment on a scale from 1 to 5, where 1 represented the lowest and 5 the highest attachment to the beliefs in Saints.”</w:t>
      </w:r>
    </w:p>
    <w:p w14:paraId="5DD43FA4" w14:textId="77777777" w:rsidR="00681D63" w:rsidRDefault="00681D63">
      <w:pPr>
        <w:rPr>
          <w:rFonts w:ascii="Calibri" w:hAnsi="Calibri"/>
          <w:lang w:val="en-GB"/>
        </w:rPr>
      </w:pPr>
    </w:p>
    <w:p w14:paraId="111CE921" w14:textId="77777777" w:rsidR="00051D89" w:rsidRPr="00051D89" w:rsidRDefault="00051D89" w:rsidP="00051D89">
      <w:pPr>
        <w:shd w:val="clear" w:color="auto" w:fill="FBE4D5" w:themeFill="accent2" w:themeFillTint="33"/>
        <w:rPr>
          <w:rFonts w:ascii="Calibri" w:hAnsi="Calibri"/>
          <w:b/>
        </w:rPr>
      </w:pPr>
      <w:r w:rsidRPr="00051D89">
        <w:rPr>
          <w:rFonts w:ascii="Calibri" w:hAnsi="Calibri"/>
          <w:b/>
        </w:rPr>
        <w:t xml:space="preserve">Marin, G. et al. (1987) Development of a Short Acculturation Scale for Hispanics, </w:t>
      </w:r>
      <w:r w:rsidRPr="00051D89">
        <w:rPr>
          <w:rFonts w:ascii="Calibri" w:hAnsi="Calibri"/>
          <w:b/>
          <w:i/>
          <w:iCs/>
        </w:rPr>
        <w:t>Hispanic Journal of Behavioral Sciences</w:t>
      </w:r>
      <w:r w:rsidRPr="00051D89">
        <w:rPr>
          <w:rFonts w:ascii="Calibri" w:hAnsi="Calibri"/>
          <w:b/>
        </w:rPr>
        <w:t>, 9(2), pp. 183–205.</w:t>
      </w:r>
    </w:p>
    <w:p w14:paraId="73947032" w14:textId="60C38BED" w:rsidR="00051D89" w:rsidRDefault="00051D89">
      <w:pPr>
        <w:rPr>
          <w:rFonts w:ascii="Calibri" w:hAnsi="Calibri"/>
          <w:lang w:val="en-GB"/>
        </w:rPr>
      </w:pPr>
    </w:p>
    <w:p w14:paraId="364AFA1C" w14:textId="77777777" w:rsidR="00051D89" w:rsidRPr="00051D89" w:rsidRDefault="00051D89" w:rsidP="00051D89">
      <w:pPr>
        <w:rPr>
          <w:rFonts w:ascii="Calibri" w:hAnsi="Calibri"/>
          <w:sz w:val="22"/>
          <w:szCs w:val="22"/>
        </w:rPr>
      </w:pPr>
      <w:r w:rsidRPr="00051D89">
        <w:rPr>
          <w:rFonts w:ascii="Calibri" w:hAnsi="Calibri"/>
          <w:sz w:val="22"/>
          <w:szCs w:val="22"/>
        </w:rPr>
        <w:t>This article reports the development of a short (12-item) acculturation scale for Hispanics. Separate factor analyses of the responses of 363 Hispanics and 228 non-Hispanic whites produced three factors: "Language Use," "Media," and "Ethnic Social Relations." The 12-item scale (explaining 67.6% of the variance for Hispanics) correlated highly with the following validation criteria: respondents' generation, length of residence in the U.S., age at arrival, ethnic self-identification, and with an acculturation index. The first factor consists of only five items and explains 54.5% of the variance while maintaining strong correlations with the various criteria. The validity and reliability coefficients for this new short scale are comparable to those obtained for other published scales. Separate validations for Mexican Americans and Central Americans showed similar results.</w:t>
      </w:r>
    </w:p>
    <w:p w14:paraId="7DCC6A5B" w14:textId="77777777" w:rsidR="00051D89" w:rsidRDefault="00051D89">
      <w:pPr>
        <w:rPr>
          <w:rFonts w:ascii="Calibri" w:hAnsi="Calibri"/>
          <w:lang w:val="en-GB"/>
        </w:rPr>
      </w:pPr>
    </w:p>
    <w:p w14:paraId="31A55B5D" w14:textId="23AEE686" w:rsidR="005B5B4C" w:rsidRDefault="005B5B4C">
      <w:pPr>
        <w:rPr>
          <w:rFonts w:ascii="Calibri" w:hAnsi="Calibri"/>
          <w:lang w:val="en-GB"/>
        </w:rPr>
      </w:pPr>
      <w:r w:rsidRPr="005B5B4C">
        <w:rPr>
          <w:rFonts w:ascii="Calibri" w:hAnsi="Calibri"/>
          <w:noProof/>
          <w:lang w:val="en-GB"/>
        </w:rPr>
        <w:lastRenderedPageBreak/>
        <w:drawing>
          <wp:inline distT="0" distB="0" distL="0" distR="0" wp14:anchorId="07CE76E7" wp14:editId="2E787696">
            <wp:extent cx="2567637" cy="2098040"/>
            <wp:effectExtent l="0" t="0" r="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0637" cy="2108662"/>
                    </a:xfrm>
                    <a:prstGeom prst="rect">
                      <a:avLst/>
                    </a:prstGeom>
                  </pic:spPr>
                </pic:pic>
              </a:graphicData>
            </a:graphic>
          </wp:inline>
        </w:drawing>
      </w:r>
    </w:p>
    <w:p w14:paraId="7D0E1694" w14:textId="77777777" w:rsidR="00D723A8" w:rsidRDefault="00D723A8">
      <w:pPr>
        <w:rPr>
          <w:rFonts w:ascii="Calibri" w:hAnsi="Calibri"/>
          <w:lang w:val="en-GB"/>
        </w:rPr>
      </w:pPr>
    </w:p>
    <w:p w14:paraId="0C695B5F" w14:textId="70D143F3" w:rsidR="00687F91" w:rsidRPr="00687F91" w:rsidRDefault="00687F91" w:rsidP="00687F91">
      <w:pPr>
        <w:shd w:val="clear" w:color="auto" w:fill="FBE4D5" w:themeFill="accent2" w:themeFillTint="33"/>
        <w:rPr>
          <w:rFonts w:ascii="Calibri" w:hAnsi="Calibri"/>
          <w:b/>
          <w:bCs/>
        </w:rPr>
      </w:pPr>
      <w:r w:rsidRPr="00687F91">
        <w:rPr>
          <w:rFonts w:ascii="Calibri" w:hAnsi="Calibri"/>
          <w:b/>
          <w:bCs/>
        </w:rPr>
        <w:t>Instruments To Measure Identity and Acculturation</w:t>
      </w:r>
    </w:p>
    <w:p w14:paraId="2085344A" w14:textId="5E78D380" w:rsidR="00D723A8" w:rsidRDefault="004B3E14">
      <w:pPr>
        <w:rPr>
          <w:rFonts w:ascii="Calibri" w:hAnsi="Calibri"/>
          <w:lang w:val="en-GB"/>
        </w:rPr>
      </w:pPr>
      <w:hyperlink r:id="rId16" w:history="1">
        <w:r w:rsidR="00687F91" w:rsidRPr="00282DDF">
          <w:rPr>
            <w:rStyle w:val="Hyperlink"/>
            <w:rFonts w:ascii="Calibri" w:hAnsi="Calibri"/>
            <w:lang w:val="en-GB"/>
          </w:rPr>
          <w:t>https://www.ncbi.nlm.nih.gov/books/NBK248425/</w:t>
        </w:r>
      </w:hyperlink>
    </w:p>
    <w:p w14:paraId="1EF23CA1" w14:textId="77777777" w:rsidR="00687F91" w:rsidRDefault="00687F91">
      <w:pPr>
        <w:rPr>
          <w:rFonts w:ascii="Calibri" w:hAnsi="Calibri"/>
          <w:lang w:val="en-GB"/>
        </w:rPr>
      </w:pPr>
    </w:p>
    <w:p w14:paraId="591C8665" w14:textId="77777777" w:rsidR="00687F91" w:rsidRPr="00687F91" w:rsidRDefault="00687F91" w:rsidP="00687F91">
      <w:pPr>
        <w:pStyle w:val="Heading3"/>
        <w:rPr>
          <w:rFonts w:eastAsia="Times New Roman"/>
          <w:b/>
          <w:sz w:val="27"/>
          <w:szCs w:val="27"/>
        </w:rPr>
      </w:pPr>
      <w:r w:rsidRPr="00687F91">
        <w:rPr>
          <w:rStyle w:val="title1"/>
          <w:rFonts w:eastAsia="Times New Roman"/>
          <w:b/>
        </w:rPr>
        <w:t>Acculturation and Ethnic Identity Measures</w:t>
      </w:r>
    </w:p>
    <w:tbl>
      <w:tblPr>
        <w:tblW w:w="0" w:type="auto"/>
        <w:tblCellSpacing w:w="15"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008"/>
        <w:gridCol w:w="4435"/>
        <w:gridCol w:w="1577"/>
      </w:tblGrid>
      <w:tr w:rsidR="00687F91" w:rsidRPr="006928A1" w14:paraId="5426511F" w14:textId="77777777" w:rsidTr="006928A1">
        <w:trPr>
          <w:tblHeader/>
          <w:tblCellSpacing w:w="15" w:type="dxa"/>
        </w:trPr>
        <w:tc>
          <w:tcPr>
            <w:tcW w:w="2963" w:type="dxa"/>
            <w:hideMark/>
          </w:tcPr>
          <w:p w14:paraId="365CBC97" w14:textId="77777777" w:rsidR="00687F91" w:rsidRPr="006928A1" w:rsidRDefault="00687F91">
            <w:pPr>
              <w:jc w:val="center"/>
              <w:rPr>
                <w:rFonts w:eastAsia="Times New Roman"/>
                <w:b/>
                <w:bCs/>
                <w:sz w:val="18"/>
                <w:szCs w:val="18"/>
              </w:rPr>
            </w:pPr>
            <w:r w:rsidRPr="006928A1">
              <w:rPr>
                <w:rFonts w:eastAsia="Times New Roman"/>
                <w:b/>
                <w:bCs/>
                <w:sz w:val="18"/>
                <w:szCs w:val="18"/>
              </w:rPr>
              <w:t>Instrument</w:t>
            </w:r>
          </w:p>
        </w:tc>
        <w:tc>
          <w:tcPr>
            <w:tcW w:w="0" w:type="auto"/>
            <w:hideMark/>
          </w:tcPr>
          <w:p w14:paraId="1EBBB5EA" w14:textId="77777777" w:rsidR="00687F91" w:rsidRPr="006928A1" w:rsidRDefault="00687F91">
            <w:pPr>
              <w:jc w:val="center"/>
              <w:rPr>
                <w:rFonts w:eastAsia="Times New Roman"/>
                <w:b/>
                <w:bCs/>
                <w:sz w:val="18"/>
                <w:szCs w:val="18"/>
              </w:rPr>
            </w:pPr>
            <w:r w:rsidRPr="006928A1">
              <w:rPr>
                <w:rFonts w:eastAsia="Times New Roman"/>
                <w:b/>
                <w:bCs/>
                <w:sz w:val="18"/>
                <w:szCs w:val="18"/>
              </w:rPr>
              <w:t>Description</w:t>
            </w:r>
          </w:p>
        </w:tc>
        <w:tc>
          <w:tcPr>
            <w:tcW w:w="0" w:type="auto"/>
            <w:hideMark/>
          </w:tcPr>
          <w:p w14:paraId="223E894F" w14:textId="77777777" w:rsidR="00687F91" w:rsidRPr="006928A1" w:rsidRDefault="00687F91">
            <w:pPr>
              <w:jc w:val="center"/>
              <w:rPr>
                <w:rFonts w:eastAsia="Times New Roman"/>
                <w:b/>
                <w:bCs/>
                <w:sz w:val="18"/>
                <w:szCs w:val="18"/>
              </w:rPr>
            </w:pPr>
            <w:r w:rsidRPr="006928A1">
              <w:rPr>
                <w:rFonts w:eastAsia="Times New Roman"/>
                <w:b/>
                <w:bCs/>
                <w:sz w:val="18"/>
                <w:szCs w:val="18"/>
              </w:rPr>
              <w:t>Cultural Group</w:t>
            </w:r>
          </w:p>
        </w:tc>
      </w:tr>
      <w:tr w:rsidR="00687F91" w:rsidRPr="006928A1" w14:paraId="1DEBED08" w14:textId="77777777" w:rsidTr="006928A1">
        <w:trPr>
          <w:tblCellSpacing w:w="15" w:type="dxa"/>
        </w:trPr>
        <w:tc>
          <w:tcPr>
            <w:tcW w:w="2963" w:type="dxa"/>
            <w:hideMark/>
          </w:tcPr>
          <w:p w14:paraId="5D02FFA8" w14:textId="77777777" w:rsidR="00687F91" w:rsidRPr="006928A1" w:rsidRDefault="00687F91">
            <w:pPr>
              <w:rPr>
                <w:rFonts w:eastAsia="Times New Roman"/>
                <w:sz w:val="18"/>
                <w:szCs w:val="18"/>
              </w:rPr>
            </w:pPr>
            <w:r w:rsidRPr="006928A1">
              <w:rPr>
                <w:rFonts w:eastAsia="Times New Roman"/>
                <w:sz w:val="18"/>
                <w:szCs w:val="18"/>
              </w:rPr>
              <w:t xml:space="preserve">African American </w:t>
            </w:r>
            <w:hyperlink r:id="rId17" w:history="1">
              <w:r w:rsidRPr="006928A1">
                <w:rPr>
                  <w:rStyle w:val="Hyperlink"/>
                  <w:rFonts w:eastAsia="Times New Roman"/>
                  <w:sz w:val="18"/>
                  <w:szCs w:val="18"/>
                </w:rPr>
                <w:t>Acculturation</w:t>
              </w:r>
            </w:hyperlink>
            <w:r w:rsidRPr="006928A1">
              <w:rPr>
                <w:rFonts w:eastAsia="Times New Roman"/>
                <w:sz w:val="18"/>
                <w:szCs w:val="18"/>
              </w:rPr>
              <w:t xml:space="preserve"> Scale-Revised (</w:t>
            </w:r>
            <w:proofErr w:type="spellStart"/>
            <w:r w:rsidR="004B3E14">
              <w:rPr>
                <w:rStyle w:val="Hyperlink"/>
                <w:rFonts w:eastAsia="Times New Roman"/>
                <w:sz w:val="18"/>
                <w:szCs w:val="18"/>
              </w:rPr>
              <w:fldChar w:fldCharType="begin"/>
            </w:r>
            <w:r w:rsidR="004B3E14">
              <w:rPr>
                <w:rStyle w:val="Hyperlink"/>
                <w:rFonts w:eastAsia="Times New Roman"/>
                <w:sz w:val="18"/>
                <w:szCs w:val="18"/>
              </w:rPr>
              <w:instrText xml:space="preserve"> HYPERLINK "https://www.ncbi.nlm.nih.gov/books/NBK248425/" </w:instrText>
            </w:r>
            <w:r w:rsidR="004B3E14">
              <w:rPr>
                <w:rStyle w:val="Hyperlink"/>
                <w:rFonts w:eastAsia="Times New Roman"/>
                <w:sz w:val="18"/>
                <w:szCs w:val="18"/>
              </w:rPr>
              <w:fldChar w:fldCharType="separate"/>
            </w:r>
            <w:r w:rsidRPr="006928A1">
              <w:rPr>
                <w:rStyle w:val="Hyperlink"/>
                <w:rFonts w:eastAsia="Times New Roman"/>
                <w:sz w:val="18"/>
                <w:szCs w:val="18"/>
              </w:rPr>
              <w:t>Klonoff</w:t>
            </w:r>
            <w:proofErr w:type="spellEnd"/>
            <w:r w:rsidRPr="006928A1">
              <w:rPr>
                <w:rStyle w:val="Hyperlink"/>
                <w:rFonts w:eastAsia="Times New Roman"/>
                <w:sz w:val="18"/>
                <w:szCs w:val="18"/>
              </w:rPr>
              <w:t xml:space="preserve"> and </w:t>
            </w:r>
            <w:proofErr w:type="spellStart"/>
            <w:r w:rsidRPr="006928A1">
              <w:rPr>
                <w:rStyle w:val="Hyperlink"/>
                <w:rFonts w:eastAsia="Times New Roman"/>
                <w:sz w:val="18"/>
                <w:szCs w:val="18"/>
              </w:rPr>
              <w:t>Landrine</w:t>
            </w:r>
            <w:proofErr w:type="spellEnd"/>
            <w:r w:rsidRPr="006928A1">
              <w:rPr>
                <w:rStyle w:val="Hyperlink"/>
                <w:rFonts w:eastAsia="Times New Roman"/>
                <w:sz w:val="18"/>
                <w:szCs w:val="18"/>
              </w:rPr>
              <w:t xml:space="preserve"> 2000</w:t>
            </w:r>
            <w:r w:rsidR="004B3E14">
              <w:rPr>
                <w:rStyle w:val="Hyperlink"/>
                <w:rFonts w:eastAsia="Times New Roman"/>
                <w:sz w:val="18"/>
                <w:szCs w:val="18"/>
              </w:rPr>
              <w:fldChar w:fldCharType="end"/>
            </w:r>
            <w:r w:rsidRPr="006928A1">
              <w:rPr>
                <w:rFonts w:eastAsia="Times New Roman"/>
                <w:sz w:val="18"/>
                <w:szCs w:val="18"/>
              </w:rPr>
              <w:t>)</w:t>
            </w:r>
          </w:p>
        </w:tc>
        <w:tc>
          <w:tcPr>
            <w:tcW w:w="0" w:type="auto"/>
            <w:hideMark/>
          </w:tcPr>
          <w:p w14:paraId="5716B15D" w14:textId="77777777" w:rsidR="00687F91" w:rsidRPr="006928A1" w:rsidRDefault="00687F91">
            <w:pPr>
              <w:rPr>
                <w:rFonts w:eastAsia="Times New Roman"/>
                <w:sz w:val="18"/>
                <w:szCs w:val="18"/>
              </w:rPr>
            </w:pPr>
            <w:r w:rsidRPr="006928A1">
              <w:rPr>
                <w:rFonts w:eastAsia="Times New Roman"/>
                <w:sz w:val="18"/>
                <w:szCs w:val="18"/>
              </w:rPr>
              <w:t xml:space="preserve">This scale measures eight dimensions of African American </w:t>
            </w:r>
            <w:hyperlink r:id="rId18" w:history="1">
              <w:r w:rsidRPr="006928A1">
                <w:rPr>
                  <w:rStyle w:val="Hyperlink"/>
                  <w:rFonts w:eastAsia="Times New Roman"/>
                  <w:sz w:val="18"/>
                  <w:szCs w:val="18"/>
                </w:rPr>
                <w:t>culture</w:t>
              </w:r>
            </w:hyperlink>
            <w:r w:rsidRPr="006928A1">
              <w:rPr>
                <w:rFonts w:eastAsia="Times New Roman"/>
                <w:sz w:val="18"/>
                <w:szCs w:val="18"/>
              </w:rPr>
              <w:t>: (1) traditional beliefs and practices, (2) traditional family structure and practices, (3) traditional socialization, (4) preparation and consumption of traditional foods, (5) preference for African American things, (6) interracial attitudes, (7) superstitions, and (8) traditional health beliefs and practices.</w:t>
            </w:r>
          </w:p>
        </w:tc>
        <w:tc>
          <w:tcPr>
            <w:tcW w:w="0" w:type="auto"/>
            <w:hideMark/>
          </w:tcPr>
          <w:p w14:paraId="1C9F14C1" w14:textId="77777777" w:rsidR="00687F91" w:rsidRPr="006928A1" w:rsidRDefault="00687F91">
            <w:pPr>
              <w:rPr>
                <w:rFonts w:eastAsia="Times New Roman"/>
                <w:sz w:val="18"/>
                <w:szCs w:val="18"/>
              </w:rPr>
            </w:pPr>
            <w:r w:rsidRPr="006928A1">
              <w:rPr>
                <w:rFonts w:eastAsia="Times New Roman"/>
                <w:sz w:val="18"/>
                <w:szCs w:val="18"/>
              </w:rPr>
              <w:t>African Americans</w:t>
            </w:r>
          </w:p>
        </w:tc>
      </w:tr>
      <w:tr w:rsidR="00687F91" w:rsidRPr="006928A1" w14:paraId="2007BE58" w14:textId="77777777" w:rsidTr="006928A1">
        <w:trPr>
          <w:tblCellSpacing w:w="15" w:type="dxa"/>
        </w:trPr>
        <w:tc>
          <w:tcPr>
            <w:tcW w:w="2963" w:type="dxa"/>
            <w:hideMark/>
          </w:tcPr>
          <w:p w14:paraId="7EF1193B" w14:textId="77777777" w:rsidR="00687F91" w:rsidRPr="006928A1" w:rsidRDefault="00687F91">
            <w:pPr>
              <w:rPr>
                <w:rFonts w:eastAsia="Times New Roman"/>
                <w:sz w:val="18"/>
                <w:szCs w:val="18"/>
              </w:rPr>
            </w:pPr>
            <w:r w:rsidRPr="006928A1">
              <w:rPr>
                <w:rFonts w:eastAsia="Times New Roman"/>
                <w:sz w:val="18"/>
                <w:szCs w:val="18"/>
              </w:rPr>
              <w:t>Black Racial Identity Attitude Scale—Form B (</w:t>
            </w:r>
            <w:hyperlink r:id="rId19" w:history="1">
              <w:r w:rsidRPr="006928A1">
                <w:rPr>
                  <w:rStyle w:val="Hyperlink"/>
                  <w:rFonts w:eastAsia="Times New Roman"/>
                  <w:sz w:val="18"/>
                  <w:szCs w:val="18"/>
                </w:rPr>
                <w:t>Helms 1990</w:t>
              </w:r>
            </w:hyperlink>
            <w:r w:rsidRPr="006928A1">
              <w:rPr>
                <w:rFonts w:eastAsia="Times New Roman"/>
                <w:sz w:val="18"/>
                <w:szCs w:val="18"/>
              </w:rPr>
              <w:t>)</w:t>
            </w:r>
          </w:p>
        </w:tc>
        <w:tc>
          <w:tcPr>
            <w:tcW w:w="0" w:type="auto"/>
            <w:hideMark/>
          </w:tcPr>
          <w:p w14:paraId="0261D7A9" w14:textId="77777777" w:rsidR="00687F91" w:rsidRPr="006928A1" w:rsidRDefault="00687F91">
            <w:pPr>
              <w:rPr>
                <w:rFonts w:eastAsia="Times New Roman"/>
                <w:sz w:val="18"/>
                <w:szCs w:val="18"/>
              </w:rPr>
            </w:pPr>
            <w:r w:rsidRPr="006928A1">
              <w:rPr>
                <w:rFonts w:eastAsia="Times New Roman"/>
                <w:sz w:val="18"/>
                <w:szCs w:val="18"/>
              </w:rPr>
              <w:t>This scale measures beliefs or attitudes of Blacks toward both Blacks and Whites using 5-point scales. It is available in short and long forms.</w:t>
            </w:r>
          </w:p>
        </w:tc>
        <w:tc>
          <w:tcPr>
            <w:tcW w:w="0" w:type="auto"/>
            <w:hideMark/>
          </w:tcPr>
          <w:p w14:paraId="7E9B1F2B" w14:textId="77777777" w:rsidR="00687F91" w:rsidRPr="006928A1" w:rsidRDefault="00687F91">
            <w:pPr>
              <w:rPr>
                <w:rFonts w:eastAsia="Times New Roman"/>
                <w:sz w:val="18"/>
                <w:szCs w:val="18"/>
              </w:rPr>
            </w:pPr>
            <w:r w:rsidRPr="006928A1">
              <w:rPr>
                <w:rFonts w:eastAsia="Times New Roman"/>
                <w:sz w:val="18"/>
                <w:szCs w:val="18"/>
              </w:rPr>
              <w:t>African Americans</w:t>
            </w:r>
          </w:p>
        </w:tc>
      </w:tr>
      <w:tr w:rsidR="00687F91" w:rsidRPr="006928A1" w14:paraId="6DDB2A59" w14:textId="77777777" w:rsidTr="006928A1">
        <w:trPr>
          <w:tblCellSpacing w:w="15" w:type="dxa"/>
        </w:trPr>
        <w:tc>
          <w:tcPr>
            <w:tcW w:w="2963" w:type="dxa"/>
            <w:hideMark/>
          </w:tcPr>
          <w:p w14:paraId="641DFAFA" w14:textId="77777777" w:rsidR="00687F91" w:rsidRPr="006928A1" w:rsidRDefault="00687F91">
            <w:pPr>
              <w:rPr>
                <w:rFonts w:eastAsia="Times New Roman"/>
                <w:sz w:val="18"/>
                <w:szCs w:val="18"/>
              </w:rPr>
            </w:pPr>
            <w:r w:rsidRPr="006928A1">
              <w:rPr>
                <w:rFonts w:eastAsia="Times New Roman"/>
                <w:sz w:val="18"/>
                <w:szCs w:val="18"/>
              </w:rPr>
              <w:t>Cross Racial Identity Scale (</w:t>
            </w:r>
            <w:hyperlink r:id="rId20" w:history="1">
              <w:r w:rsidRPr="006928A1">
                <w:rPr>
                  <w:rStyle w:val="Hyperlink"/>
                  <w:rFonts w:eastAsia="Times New Roman"/>
                  <w:sz w:val="18"/>
                  <w:szCs w:val="18"/>
                </w:rPr>
                <w:t>Worrell et al. 2001</w:t>
              </w:r>
            </w:hyperlink>
            <w:r w:rsidRPr="006928A1">
              <w:rPr>
                <w:rFonts w:eastAsia="Times New Roman"/>
                <w:sz w:val="18"/>
                <w:szCs w:val="18"/>
              </w:rPr>
              <w:t>)</w:t>
            </w:r>
          </w:p>
        </w:tc>
        <w:tc>
          <w:tcPr>
            <w:tcW w:w="0" w:type="auto"/>
            <w:hideMark/>
          </w:tcPr>
          <w:p w14:paraId="6D322DD2" w14:textId="77777777" w:rsidR="00687F91" w:rsidRPr="006928A1" w:rsidRDefault="00687F91">
            <w:pPr>
              <w:rPr>
                <w:rFonts w:eastAsia="Times New Roman"/>
                <w:sz w:val="18"/>
                <w:szCs w:val="18"/>
              </w:rPr>
            </w:pPr>
            <w:r w:rsidRPr="006928A1">
              <w:rPr>
                <w:rFonts w:eastAsia="Times New Roman"/>
                <w:sz w:val="18"/>
                <w:szCs w:val="18"/>
              </w:rPr>
              <w:t>This scale measures six identity clusters associated with four stages of racial identity development.</w:t>
            </w:r>
          </w:p>
        </w:tc>
        <w:tc>
          <w:tcPr>
            <w:tcW w:w="0" w:type="auto"/>
            <w:hideMark/>
          </w:tcPr>
          <w:p w14:paraId="3914CBCC" w14:textId="77777777" w:rsidR="00687F91" w:rsidRPr="006928A1" w:rsidRDefault="00687F91">
            <w:pPr>
              <w:rPr>
                <w:rFonts w:eastAsia="Times New Roman"/>
                <w:sz w:val="18"/>
                <w:szCs w:val="18"/>
              </w:rPr>
            </w:pPr>
            <w:r w:rsidRPr="006928A1">
              <w:rPr>
                <w:rFonts w:eastAsia="Times New Roman"/>
                <w:sz w:val="18"/>
                <w:szCs w:val="18"/>
              </w:rPr>
              <w:t>African Americans</w:t>
            </w:r>
          </w:p>
        </w:tc>
      </w:tr>
      <w:tr w:rsidR="00687F91" w:rsidRPr="006928A1" w14:paraId="45F03CEA" w14:textId="77777777" w:rsidTr="006928A1">
        <w:trPr>
          <w:tblCellSpacing w:w="15" w:type="dxa"/>
        </w:trPr>
        <w:tc>
          <w:tcPr>
            <w:tcW w:w="2963" w:type="dxa"/>
            <w:hideMark/>
          </w:tcPr>
          <w:p w14:paraId="0BF47EFD" w14:textId="77777777" w:rsidR="00687F91" w:rsidRPr="006928A1" w:rsidRDefault="00687F91">
            <w:pPr>
              <w:rPr>
                <w:rFonts w:eastAsia="Times New Roman"/>
                <w:sz w:val="18"/>
                <w:szCs w:val="18"/>
              </w:rPr>
            </w:pPr>
            <w:r w:rsidRPr="006928A1">
              <w:rPr>
                <w:rFonts w:eastAsia="Times New Roman"/>
                <w:sz w:val="18"/>
                <w:szCs w:val="18"/>
              </w:rPr>
              <w:t xml:space="preserve">Multidimensional Inventory of Black Identity (MIBI; </w:t>
            </w:r>
            <w:hyperlink r:id="rId21" w:history="1">
              <w:r w:rsidRPr="006928A1">
                <w:rPr>
                  <w:rStyle w:val="Hyperlink"/>
                  <w:rFonts w:eastAsia="Times New Roman"/>
                  <w:sz w:val="18"/>
                  <w:szCs w:val="18"/>
                </w:rPr>
                <w:t>Sellers et al. 1997</w:t>
              </w:r>
            </w:hyperlink>
            <w:r w:rsidRPr="006928A1">
              <w:rPr>
                <w:rFonts w:eastAsia="Times New Roman"/>
                <w:sz w:val="18"/>
                <w:szCs w:val="18"/>
              </w:rPr>
              <w:t>)</w:t>
            </w:r>
          </w:p>
        </w:tc>
        <w:tc>
          <w:tcPr>
            <w:tcW w:w="0" w:type="auto"/>
            <w:hideMark/>
          </w:tcPr>
          <w:p w14:paraId="3DB85DB1" w14:textId="77777777" w:rsidR="00687F91" w:rsidRPr="006928A1" w:rsidRDefault="00687F91">
            <w:pPr>
              <w:rPr>
                <w:rFonts w:eastAsia="Times New Roman"/>
                <w:sz w:val="18"/>
                <w:szCs w:val="18"/>
              </w:rPr>
            </w:pPr>
            <w:r w:rsidRPr="006928A1">
              <w:rPr>
                <w:rFonts w:eastAsia="Times New Roman"/>
                <w:sz w:val="18"/>
                <w:szCs w:val="18"/>
              </w:rPr>
              <w:t xml:space="preserve">The MIBI measures centrality of Black identity, ideology, and regard for a Black identity. It is available online at </w:t>
            </w:r>
            <w:hyperlink r:id="rId22" w:history="1">
              <w:r w:rsidRPr="006928A1">
                <w:rPr>
                  <w:rStyle w:val="Hyperlink"/>
                  <w:rFonts w:eastAsia="Times New Roman"/>
                  <w:sz w:val="18"/>
                  <w:szCs w:val="18"/>
                </w:rPr>
                <w:t>http://sitemaker​.umich​.edu/aaril/files/mibiscaleand</w:t>
              </w:r>
            </w:hyperlink>
            <w:r w:rsidRPr="006928A1">
              <w:rPr>
                <w:rFonts w:eastAsia="Times New Roman"/>
                <w:sz w:val="18"/>
                <w:szCs w:val="18"/>
              </w:rPr>
              <w:t xml:space="preserve"> scoring.pdf.</w:t>
            </w:r>
          </w:p>
        </w:tc>
        <w:tc>
          <w:tcPr>
            <w:tcW w:w="0" w:type="auto"/>
            <w:hideMark/>
          </w:tcPr>
          <w:p w14:paraId="64EF2877" w14:textId="77777777" w:rsidR="00687F91" w:rsidRPr="006928A1" w:rsidRDefault="00687F91">
            <w:pPr>
              <w:rPr>
                <w:rFonts w:eastAsia="Times New Roman"/>
                <w:sz w:val="18"/>
                <w:szCs w:val="18"/>
              </w:rPr>
            </w:pPr>
            <w:r w:rsidRPr="006928A1">
              <w:rPr>
                <w:rFonts w:eastAsia="Times New Roman"/>
                <w:sz w:val="18"/>
                <w:szCs w:val="18"/>
              </w:rPr>
              <w:t>African Americans</w:t>
            </w:r>
          </w:p>
        </w:tc>
      </w:tr>
      <w:tr w:rsidR="00687F91" w:rsidRPr="006928A1" w14:paraId="7FDB212C" w14:textId="77777777" w:rsidTr="006928A1">
        <w:trPr>
          <w:tblCellSpacing w:w="15" w:type="dxa"/>
        </w:trPr>
        <w:tc>
          <w:tcPr>
            <w:tcW w:w="2963" w:type="dxa"/>
            <w:hideMark/>
          </w:tcPr>
          <w:p w14:paraId="2C5DB520" w14:textId="77777777" w:rsidR="00687F91" w:rsidRPr="006928A1" w:rsidRDefault="00687F91">
            <w:pPr>
              <w:rPr>
                <w:rFonts w:eastAsia="Times New Roman"/>
                <w:sz w:val="18"/>
                <w:szCs w:val="18"/>
              </w:rPr>
            </w:pPr>
            <w:r w:rsidRPr="006928A1">
              <w:rPr>
                <w:rFonts w:eastAsia="Times New Roman"/>
                <w:sz w:val="18"/>
                <w:szCs w:val="18"/>
              </w:rPr>
              <w:t xml:space="preserve">Scale To Assess African American </w:t>
            </w:r>
            <w:hyperlink r:id="rId23" w:history="1">
              <w:r w:rsidRPr="006928A1">
                <w:rPr>
                  <w:rStyle w:val="Hyperlink"/>
                  <w:rFonts w:eastAsia="Times New Roman"/>
                  <w:sz w:val="18"/>
                  <w:szCs w:val="18"/>
                </w:rPr>
                <w:t>Acculturation</w:t>
              </w:r>
            </w:hyperlink>
            <w:r w:rsidRPr="006928A1">
              <w:rPr>
                <w:rFonts w:eastAsia="Times New Roman"/>
                <w:sz w:val="18"/>
                <w:szCs w:val="18"/>
              </w:rPr>
              <w:t xml:space="preserve"> (</w:t>
            </w:r>
            <w:hyperlink r:id="rId24" w:history="1">
              <w:r w:rsidRPr="006928A1">
                <w:rPr>
                  <w:rStyle w:val="Hyperlink"/>
                  <w:rFonts w:eastAsia="Times New Roman"/>
                  <w:sz w:val="18"/>
                  <w:szCs w:val="18"/>
                </w:rPr>
                <w:t>Snowden and Hines 1999</w:t>
              </w:r>
            </w:hyperlink>
            <w:r w:rsidRPr="006928A1">
              <w:rPr>
                <w:rFonts w:eastAsia="Times New Roman"/>
                <w:sz w:val="18"/>
                <w:szCs w:val="18"/>
              </w:rPr>
              <w:t>)</w:t>
            </w:r>
          </w:p>
        </w:tc>
        <w:tc>
          <w:tcPr>
            <w:tcW w:w="0" w:type="auto"/>
            <w:hideMark/>
          </w:tcPr>
          <w:p w14:paraId="21FA577B" w14:textId="77777777" w:rsidR="00687F91" w:rsidRPr="006928A1" w:rsidRDefault="00687F91">
            <w:pPr>
              <w:rPr>
                <w:rFonts w:eastAsia="Times New Roman"/>
                <w:sz w:val="18"/>
                <w:szCs w:val="18"/>
              </w:rPr>
            </w:pPr>
            <w:r w:rsidRPr="006928A1">
              <w:rPr>
                <w:rFonts w:eastAsia="Times New Roman"/>
                <w:sz w:val="18"/>
                <w:szCs w:val="18"/>
              </w:rPr>
              <w:t xml:space="preserve">This is a 10-item scale that assesses media preferences, racial bias in relationships, </w:t>
            </w:r>
            <w:hyperlink r:id="rId25" w:history="1">
              <w:r w:rsidRPr="006928A1">
                <w:rPr>
                  <w:rStyle w:val="Hyperlink"/>
                  <w:rFonts w:eastAsia="Times New Roman"/>
                  <w:sz w:val="18"/>
                  <w:szCs w:val="18"/>
                </w:rPr>
                <w:t>race</w:t>
              </w:r>
            </w:hyperlink>
            <w:r w:rsidRPr="006928A1">
              <w:rPr>
                <w:rFonts w:eastAsia="Times New Roman"/>
                <w:sz w:val="18"/>
                <w:szCs w:val="18"/>
              </w:rPr>
              <w:t>-related attitudes, and comfort in interacting with other races.</w:t>
            </w:r>
          </w:p>
        </w:tc>
        <w:tc>
          <w:tcPr>
            <w:tcW w:w="0" w:type="auto"/>
            <w:hideMark/>
          </w:tcPr>
          <w:p w14:paraId="1BFACEC5" w14:textId="77777777" w:rsidR="00687F91" w:rsidRPr="006928A1" w:rsidRDefault="00687F91">
            <w:pPr>
              <w:rPr>
                <w:rFonts w:eastAsia="Times New Roman"/>
                <w:sz w:val="18"/>
                <w:szCs w:val="18"/>
              </w:rPr>
            </w:pPr>
            <w:r w:rsidRPr="006928A1">
              <w:rPr>
                <w:rFonts w:eastAsia="Times New Roman"/>
                <w:sz w:val="18"/>
                <w:szCs w:val="18"/>
              </w:rPr>
              <w:t>African Americans</w:t>
            </w:r>
          </w:p>
        </w:tc>
      </w:tr>
      <w:tr w:rsidR="00687F91" w:rsidRPr="006928A1" w14:paraId="58249AF9" w14:textId="77777777" w:rsidTr="006928A1">
        <w:trPr>
          <w:tblCellSpacing w:w="15" w:type="dxa"/>
        </w:trPr>
        <w:tc>
          <w:tcPr>
            <w:tcW w:w="2963" w:type="dxa"/>
            <w:hideMark/>
          </w:tcPr>
          <w:p w14:paraId="14948B60" w14:textId="77777777" w:rsidR="00687F91" w:rsidRPr="006928A1" w:rsidRDefault="00687F91">
            <w:pPr>
              <w:rPr>
                <w:rFonts w:eastAsia="Times New Roman"/>
                <w:sz w:val="18"/>
                <w:szCs w:val="18"/>
              </w:rPr>
            </w:pPr>
            <w:r w:rsidRPr="006928A1">
              <w:rPr>
                <w:rFonts w:eastAsia="Times New Roman"/>
                <w:sz w:val="18"/>
                <w:szCs w:val="18"/>
              </w:rPr>
              <w:t>African Self-Consciousness Scale (</w:t>
            </w:r>
            <w:hyperlink r:id="rId26" w:history="1">
              <w:r w:rsidRPr="006928A1">
                <w:rPr>
                  <w:rStyle w:val="Hyperlink"/>
                  <w:rFonts w:eastAsia="Times New Roman"/>
                  <w:sz w:val="18"/>
                  <w:szCs w:val="18"/>
                </w:rPr>
                <w:t>Baldwin and Bell 1985</w:t>
              </w:r>
            </w:hyperlink>
            <w:r w:rsidRPr="006928A1">
              <w:rPr>
                <w:rFonts w:eastAsia="Times New Roman"/>
                <w:sz w:val="18"/>
                <w:szCs w:val="18"/>
              </w:rPr>
              <w:t>)</w:t>
            </w:r>
          </w:p>
        </w:tc>
        <w:tc>
          <w:tcPr>
            <w:tcW w:w="0" w:type="auto"/>
            <w:hideMark/>
          </w:tcPr>
          <w:p w14:paraId="21B3950E" w14:textId="77777777" w:rsidR="00687F91" w:rsidRPr="006928A1" w:rsidRDefault="00687F91">
            <w:pPr>
              <w:rPr>
                <w:rFonts w:eastAsia="Times New Roman"/>
                <w:sz w:val="18"/>
                <w:szCs w:val="18"/>
              </w:rPr>
            </w:pPr>
            <w:r w:rsidRPr="006928A1">
              <w:rPr>
                <w:rFonts w:eastAsia="Times New Roman"/>
                <w:sz w:val="18"/>
                <w:szCs w:val="18"/>
              </w:rPr>
              <w:t xml:space="preserve">This scale measures within-group variability in the level of </w:t>
            </w:r>
            <w:hyperlink r:id="rId27" w:history="1">
              <w:r w:rsidRPr="006928A1">
                <w:rPr>
                  <w:rStyle w:val="Hyperlink"/>
                  <w:rFonts w:eastAsia="Times New Roman"/>
                  <w:sz w:val="18"/>
                  <w:szCs w:val="18"/>
                </w:rPr>
                <w:t>acculturation</w:t>
              </w:r>
            </w:hyperlink>
            <w:r w:rsidRPr="006928A1">
              <w:rPr>
                <w:rFonts w:eastAsia="Times New Roman"/>
                <w:sz w:val="18"/>
                <w:szCs w:val="18"/>
              </w:rPr>
              <w:t>/cultural identity continuum (</w:t>
            </w:r>
            <w:hyperlink r:id="rId28" w:history="1">
              <w:r w:rsidRPr="006928A1">
                <w:rPr>
                  <w:rStyle w:val="Hyperlink"/>
                  <w:rFonts w:eastAsia="Times New Roman"/>
                  <w:sz w:val="18"/>
                  <w:szCs w:val="18"/>
                </w:rPr>
                <w:t>Baldwin and Bell 1985</w:t>
              </w:r>
            </w:hyperlink>
            <w:r w:rsidRPr="006928A1">
              <w:rPr>
                <w:rFonts w:eastAsia="Times New Roman"/>
                <w:sz w:val="18"/>
                <w:szCs w:val="18"/>
              </w:rPr>
              <w:t xml:space="preserve">) based on degree of Afrocentricity or </w:t>
            </w:r>
            <w:proofErr w:type="spellStart"/>
            <w:r w:rsidRPr="006928A1">
              <w:rPr>
                <w:rFonts w:eastAsia="Times New Roman"/>
                <w:sz w:val="18"/>
                <w:szCs w:val="18"/>
              </w:rPr>
              <w:t>Nigrescence</w:t>
            </w:r>
            <w:proofErr w:type="spellEnd"/>
            <w:r w:rsidRPr="006928A1">
              <w:rPr>
                <w:rFonts w:eastAsia="Times New Roman"/>
                <w:sz w:val="18"/>
                <w:szCs w:val="18"/>
              </w:rPr>
              <w:t xml:space="preserve"> (White and Parham 1996). It indicates a client's level of involvement in traditional African American </w:t>
            </w:r>
            <w:hyperlink r:id="rId29" w:history="1">
              <w:r w:rsidRPr="006928A1">
                <w:rPr>
                  <w:rStyle w:val="Hyperlink"/>
                  <w:rFonts w:eastAsia="Times New Roman"/>
                  <w:sz w:val="18"/>
                  <w:szCs w:val="18"/>
                </w:rPr>
                <w:t>culture</w:t>
              </w:r>
            </w:hyperlink>
            <w:r w:rsidRPr="006928A1">
              <w:rPr>
                <w:rFonts w:eastAsia="Times New Roman"/>
                <w:sz w:val="18"/>
                <w:szCs w:val="18"/>
              </w:rPr>
              <w:t xml:space="preserve"> or the core African-oriented </w:t>
            </w:r>
            <w:hyperlink r:id="rId30" w:history="1">
              <w:r w:rsidRPr="006928A1">
                <w:rPr>
                  <w:rStyle w:val="Hyperlink"/>
                  <w:rFonts w:eastAsia="Times New Roman"/>
                  <w:sz w:val="18"/>
                  <w:szCs w:val="18"/>
                </w:rPr>
                <w:t>culture</w:t>
              </w:r>
            </w:hyperlink>
            <w:r w:rsidRPr="006928A1">
              <w:rPr>
                <w:rFonts w:eastAsia="Times New Roman"/>
                <w:sz w:val="18"/>
                <w:szCs w:val="18"/>
              </w:rPr>
              <w:t>.</w:t>
            </w:r>
          </w:p>
        </w:tc>
        <w:tc>
          <w:tcPr>
            <w:tcW w:w="0" w:type="auto"/>
            <w:hideMark/>
          </w:tcPr>
          <w:p w14:paraId="0169EFE3" w14:textId="77777777" w:rsidR="00687F91" w:rsidRPr="006928A1" w:rsidRDefault="00687F91">
            <w:pPr>
              <w:rPr>
                <w:rFonts w:eastAsia="Times New Roman"/>
                <w:sz w:val="18"/>
                <w:szCs w:val="18"/>
              </w:rPr>
            </w:pPr>
            <w:r w:rsidRPr="006928A1">
              <w:rPr>
                <w:rFonts w:eastAsia="Times New Roman"/>
                <w:sz w:val="18"/>
                <w:szCs w:val="18"/>
              </w:rPr>
              <w:t>African Americans/African Immigrants</w:t>
            </w:r>
          </w:p>
        </w:tc>
      </w:tr>
      <w:tr w:rsidR="00687F91" w:rsidRPr="006928A1" w14:paraId="2B3A06B1" w14:textId="77777777" w:rsidTr="006928A1">
        <w:trPr>
          <w:tblCellSpacing w:w="15" w:type="dxa"/>
        </w:trPr>
        <w:tc>
          <w:tcPr>
            <w:tcW w:w="2963" w:type="dxa"/>
            <w:hideMark/>
          </w:tcPr>
          <w:p w14:paraId="0F5A358D" w14:textId="77777777" w:rsidR="00687F91" w:rsidRPr="006928A1" w:rsidRDefault="00687F91">
            <w:pPr>
              <w:rPr>
                <w:rFonts w:eastAsia="Times New Roman"/>
                <w:sz w:val="18"/>
                <w:szCs w:val="18"/>
              </w:rPr>
            </w:pPr>
            <w:r w:rsidRPr="006928A1">
              <w:rPr>
                <w:rFonts w:eastAsia="Times New Roman"/>
                <w:sz w:val="18"/>
                <w:szCs w:val="18"/>
              </w:rPr>
              <w:t xml:space="preserve">Native American </w:t>
            </w:r>
            <w:hyperlink r:id="rId31" w:history="1">
              <w:r w:rsidRPr="006928A1">
                <w:rPr>
                  <w:rStyle w:val="Hyperlink"/>
                  <w:rFonts w:eastAsia="Times New Roman"/>
                  <w:sz w:val="18"/>
                  <w:szCs w:val="18"/>
                </w:rPr>
                <w:t>Acculturation</w:t>
              </w:r>
            </w:hyperlink>
            <w:r w:rsidRPr="006928A1">
              <w:rPr>
                <w:rFonts w:eastAsia="Times New Roman"/>
                <w:sz w:val="18"/>
                <w:szCs w:val="18"/>
              </w:rPr>
              <w:t xml:space="preserve"> Scale (</w:t>
            </w:r>
            <w:hyperlink r:id="rId32" w:history="1">
              <w:r w:rsidRPr="006928A1">
                <w:rPr>
                  <w:rStyle w:val="Hyperlink"/>
                  <w:rFonts w:eastAsia="Times New Roman"/>
                  <w:sz w:val="18"/>
                  <w:szCs w:val="18"/>
                </w:rPr>
                <w:t>Garrett and Pichette 2000</w:t>
              </w:r>
            </w:hyperlink>
            <w:r w:rsidRPr="006928A1">
              <w:rPr>
                <w:rFonts w:eastAsia="Times New Roman"/>
                <w:sz w:val="18"/>
                <w:szCs w:val="18"/>
              </w:rPr>
              <w:t>)</w:t>
            </w:r>
          </w:p>
        </w:tc>
        <w:tc>
          <w:tcPr>
            <w:tcW w:w="0" w:type="auto"/>
            <w:hideMark/>
          </w:tcPr>
          <w:p w14:paraId="12C5212A" w14:textId="77777777" w:rsidR="00687F91" w:rsidRPr="006928A1" w:rsidRDefault="00687F91">
            <w:pPr>
              <w:rPr>
                <w:rFonts w:eastAsia="Times New Roman"/>
                <w:sz w:val="18"/>
                <w:szCs w:val="18"/>
              </w:rPr>
            </w:pPr>
            <w:r w:rsidRPr="006928A1">
              <w:rPr>
                <w:rFonts w:eastAsia="Times New Roman"/>
                <w:sz w:val="18"/>
                <w:szCs w:val="18"/>
              </w:rPr>
              <w:t xml:space="preserve">The Native American </w:t>
            </w:r>
            <w:hyperlink r:id="rId33" w:history="1">
              <w:r w:rsidRPr="006928A1">
                <w:rPr>
                  <w:rStyle w:val="Hyperlink"/>
                  <w:rFonts w:eastAsia="Times New Roman"/>
                  <w:sz w:val="18"/>
                  <w:szCs w:val="18"/>
                </w:rPr>
                <w:t>Acculturation</w:t>
              </w:r>
            </w:hyperlink>
            <w:r w:rsidRPr="006928A1">
              <w:rPr>
                <w:rFonts w:eastAsia="Times New Roman"/>
                <w:sz w:val="18"/>
                <w:szCs w:val="18"/>
              </w:rPr>
              <w:t xml:space="preserve"> scale asks 20 questions to ascertain a client's level of involvement with Native American </w:t>
            </w:r>
            <w:hyperlink r:id="rId34" w:history="1">
              <w:r w:rsidRPr="006928A1">
                <w:rPr>
                  <w:rStyle w:val="Hyperlink"/>
                  <w:rFonts w:eastAsia="Times New Roman"/>
                  <w:sz w:val="18"/>
                  <w:szCs w:val="18"/>
                </w:rPr>
                <w:t>culture</w:t>
              </w:r>
            </w:hyperlink>
            <w:r w:rsidRPr="006928A1">
              <w:rPr>
                <w:rFonts w:eastAsia="Times New Roman"/>
                <w:sz w:val="18"/>
                <w:szCs w:val="18"/>
              </w:rPr>
              <w:t>.</w:t>
            </w:r>
          </w:p>
        </w:tc>
        <w:tc>
          <w:tcPr>
            <w:tcW w:w="0" w:type="auto"/>
            <w:hideMark/>
          </w:tcPr>
          <w:p w14:paraId="2F9611EA" w14:textId="77777777" w:rsidR="00687F91" w:rsidRPr="006928A1" w:rsidRDefault="00687F91">
            <w:pPr>
              <w:rPr>
                <w:rFonts w:eastAsia="Times New Roman"/>
                <w:sz w:val="18"/>
                <w:szCs w:val="18"/>
              </w:rPr>
            </w:pPr>
            <w:r w:rsidRPr="006928A1">
              <w:rPr>
                <w:rFonts w:eastAsia="Times New Roman"/>
                <w:sz w:val="18"/>
                <w:szCs w:val="18"/>
              </w:rPr>
              <w:t>Native Americans</w:t>
            </w:r>
          </w:p>
        </w:tc>
      </w:tr>
      <w:tr w:rsidR="00687F91" w:rsidRPr="006928A1" w14:paraId="1C196E5C" w14:textId="77777777" w:rsidTr="006928A1">
        <w:trPr>
          <w:tblCellSpacing w:w="15" w:type="dxa"/>
        </w:trPr>
        <w:tc>
          <w:tcPr>
            <w:tcW w:w="2963" w:type="dxa"/>
            <w:hideMark/>
          </w:tcPr>
          <w:p w14:paraId="6C1F6F1E" w14:textId="77777777" w:rsidR="00687F91" w:rsidRPr="006928A1" w:rsidRDefault="00687F91">
            <w:pPr>
              <w:rPr>
                <w:rFonts w:eastAsia="Times New Roman"/>
                <w:sz w:val="18"/>
                <w:szCs w:val="18"/>
              </w:rPr>
            </w:pPr>
            <w:r w:rsidRPr="006928A1">
              <w:rPr>
                <w:rFonts w:eastAsia="Times New Roman"/>
                <w:sz w:val="18"/>
                <w:szCs w:val="18"/>
              </w:rPr>
              <w:t>Rosebud Personal Opinion Survey (</w:t>
            </w:r>
            <w:hyperlink r:id="rId35" w:history="1">
              <w:r w:rsidRPr="006928A1">
                <w:rPr>
                  <w:rStyle w:val="Hyperlink"/>
                  <w:rFonts w:eastAsia="Times New Roman"/>
                  <w:sz w:val="18"/>
                  <w:szCs w:val="18"/>
                </w:rPr>
                <w:t>Hoffmann et al. 1985</w:t>
              </w:r>
            </w:hyperlink>
            <w:r w:rsidRPr="006928A1">
              <w:rPr>
                <w:rFonts w:eastAsia="Times New Roman"/>
                <w:sz w:val="18"/>
                <w:szCs w:val="18"/>
              </w:rPr>
              <w:t>)</w:t>
            </w:r>
          </w:p>
        </w:tc>
        <w:tc>
          <w:tcPr>
            <w:tcW w:w="0" w:type="auto"/>
            <w:hideMark/>
          </w:tcPr>
          <w:p w14:paraId="0CF6C24B" w14:textId="77777777" w:rsidR="00687F91" w:rsidRPr="006928A1" w:rsidRDefault="00687F91">
            <w:pPr>
              <w:rPr>
                <w:rFonts w:eastAsia="Times New Roman"/>
                <w:sz w:val="18"/>
                <w:szCs w:val="18"/>
              </w:rPr>
            </w:pPr>
            <w:r w:rsidRPr="006928A1">
              <w:rPr>
                <w:rFonts w:eastAsia="Times New Roman"/>
                <w:sz w:val="18"/>
                <w:szCs w:val="18"/>
              </w:rPr>
              <w:t xml:space="preserve">This assessment evaluates components of </w:t>
            </w:r>
            <w:hyperlink r:id="rId36" w:history="1">
              <w:r w:rsidRPr="006928A1">
                <w:rPr>
                  <w:rStyle w:val="Hyperlink"/>
                  <w:rFonts w:eastAsia="Times New Roman"/>
                  <w:sz w:val="18"/>
                  <w:szCs w:val="18"/>
                </w:rPr>
                <w:t>acculturation</w:t>
              </w:r>
            </w:hyperlink>
            <w:r w:rsidRPr="006928A1">
              <w:rPr>
                <w:rFonts w:eastAsia="Times New Roman"/>
                <w:sz w:val="18"/>
                <w:szCs w:val="18"/>
              </w:rPr>
              <w:t xml:space="preserve">, including </w:t>
            </w:r>
            <w:hyperlink r:id="rId37" w:history="1">
              <w:r w:rsidRPr="006928A1">
                <w:rPr>
                  <w:rStyle w:val="Hyperlink"/>
                  <w:rFonts w:eastAsia="Times New Roman"/>
                  <w:sz w:val="18"/>
                  <w:szCs w:val="18"/>
                </w:rPr>
                <w:t>language</w:t>
              </w:r>
            </w:hyperlink>
            <w:r w:rsidRPr="006928A1">
              <w:rPr>
                <w:rFonts w:eastAsia="Times New Roman"/>
                <w:sz w:val="18"/>
                <w:szCs w:val="18"/>
              </w:rPr>
              <w:t xml:space="preserve"> use, values, social behaviors, social networks, religious affiliation and practice, home community, education, ancestry, and cultural identification.</w:t>
            </w:r>
          </w:p>
        </w:tc>
        <w:tc>
          <w:tcPr>
            <w:tcW w:w="0" w:type="auto"/>
            <w:hideMark/>
          </w:tcPr>
          <w:p w14:paraId="71887C67" w14:textId="77777777" w:rsidR="00687F91" w:rsidRPr="006928A1" w:rsidRDefault="00687F91">
            <w:pPr>
              <w:rPr>
                <w:rFonts w:eastAsia="Times New Roman"/>
                <w:sz w:val="18"/>
                <w:szCs w:val="18"/>
              </w:rPr>
            </w:pPr>
            <w:r w:rsidRPr="006928A1">
              <w:rPr>
                <w:rFonts w:eastAsia="Times New Roman"/>
                <w:sz w:val="18"/>
                <w:szCs w:val="18"/>
              </w:rPr>
              <w:t>Native Americans</w:t>
            </w:r>
          </w:p>
        </w:tc>
      </w:tr>
      <w:tr w:rsidR="00687F91" w:rsidRPr="006928A1" w14:paraId="6EA2EC99" w14:textId="77777777" w:rsidTr="006928A1">
        <w:trPr>
          <w:tblCellSpacing w:w="15" w:type="dxa"/>
        </w:trPr>
        <w:tc>
          <w:tcPr>
            <w:tcW w:w="2963" w:type="dxa"/>
            <w:hideMark/>
          </w:tcPr>
          <w:p w14:paraId="16AB8B7A" w14:textId="77777777" w:rsidR="00687F91" w:rsidRPr="006928A1" w:rsidRDefault="00687F91">
            <w:pPr>
              <w:rPr>
                <w:rFonts w:eastAsia="Times New Roman"/>
                <w:sz w:val="18"/>
                <w:szCs w:val="18"/>
              </w:rPr>
            </w:pPr>
            <w:r w:rsidRPr="006928A1">
              <w:rPr>
                <w:rFonts w:eastAsia="Times New Roman"/>
                <w:sz w:val="18"/>
                <w:szCs w:val="18"/>
              </w:rPr>
              <w:t xml:space="preserve">Asian American Multidimensional </w:t>
            </w:r>
            <w:hyperlink r:id="rId38" w:history="1">
              <w:r w:rsidRPr="006928A1">
                <w:rPr>
                  <w:rStyle w:val="Hyperlink"/>
                  <w:rFonts w:eastAsia="Times New Roman"/>
                  <w:sz w:val="18"/>
                  <w:szCs w:val="18"/>
                </w:rPr>
                <w:t>Acculturation</w:t>
              </w:r>
            </w:hyperlink>
            <w:r w:rsidRPr="006928A1">
              <w:rPr>
                <w:rFonts w:eastAsia="Times New Roman"/>
                <w:sz w:val="18"/>
                <w:szCs w:val="18"/>
              </w:rPr>
              <w:t xml:space="preserve"> Scale (AAMAS; </w:t>
            </w:r>
            <w:hyperlink r:id="rId39" w:history="1">
              <w:proofErr w:type="spellStart"/>
              <w:r w:rsidRPr="006928A1">
                <w:rPr>
                  <w:rStyle w:val="Hyperlink"/>
                  <w:rFonts w:eastAsia="Times New Roman"/>
                  <w:sz w:val="18"/>
                  <w:szCs w:val="18"/>
                </w:rPr>
                <w:t>Gim</w:t>
              </w:r>
              <w:proofErr w:type="spellEnd"/>
              <w:r w:rsidRPr="006928A1">
                <w:rPr>
                  <w:rStyle w:val="Hyperlink"/>
                  <w:rFonts w:eastAsia="Times New Roman"/>
                  <w:sz w:val="18"/>
                  <w:szCs w:val="18"/>
                </w:rPr>
                <w:t xml:space="preserve"> Chung et al. 2004</w:t>
              </w:r>
            </w:hyperlink>
            <w:r w:rsidRPr="006928A1">
              <w:rPr>
                <w:rFonts w:eastAsia="Times New Roman"/>
                <w:sz w:val="18"/>
                <w:szCs w:val="18"/>
              </w:rPr>
              <w:t>)</w:t>
            </w:r>
          </w:p>
        </w:tc>
        <w:tc>
          <w:tcPr>
            <w:tcW w:w="0" w:type="auto"/>
            <w:hideMark/>
          </w:tcPr>
          <w:p w14:paraId="4E1288CF" w14:textId="77777777" w:rsidR="00687F91" w:rsidRPr="006928A1" w:rsidRDefault="00687F91">
            <w:pPr>
              <w:rPr>
                <w:rFonts w:eastAsia="Times New Roman"/>
                <w:sz w:val="18"/>
                <w:szCs w:val="18"/>
              </w:rPr>
            </w:pPr>
            <w:r w:rsidRPr="006928A1">
              <w:rPr>
                <w:rFonts w:eastAsia="Times New Roman"/>
                <w:sz w:val="18"/>
                <w:szCs w:val="18"/>
              </w:rPr>
              <w:t xml:space="preserve">The AAMAS was developed to be easy to use with a variety of Asian American ethnic groups. It includes questions </w:t>
            </w:r>
            <w:r w:rsidRPr="006928A1">
              <w:rPr>
                <w:rFonts w:eastAsia="Times New Roman"/>
                <w:sz w:val="18"/>
                <w:szCs w:val="18"/>
              </w:rPr>
              <w:lastRenderedPageBreak/>
              <w:t xml:space="preserve">relating to cultural identity, </w:t>
            </w:r>
            <w:hyperlink r:id="rId40" w:history="1">
              <w:r w:rsidRPr="006928A1">
                <w:rPr>
                  <w:rStyle w:val="Hyperlink"/>
                  <w:rFonts w:eastAsia="Times New Roman"/>
                  <w:sz w:val="18"/>
                  <w:szCs w:val="18"/>
                </w:rPr>
                <w:t>language</w:t>
              </w:r>
            </w:hyperlink>
            <w:r w:rsidRPr="006928A1">
              <w:rPr>
                <w:rFonts w:eastAsia="Times New Roman"/>
                <w:sz w:val="18"/>
                <w:szCs w:val="18"/>
              </w:rPr>
              <w:t xml:space="preserve"> use, cultural knowledge, and food preferences.</w:t>
            </w:r>
          </w:p>
        </w:tc>
        <w:tc>
          <w:tcPr>
            <w:tcW w:w="0" w:type="auto"/>
            <w:hideMark/>
          </w:tcPr>
          <w:p w14:paraId="38173D99" w14:textId="77777777" w:rsidR="00687F91" w:rsidRPr="006928A1" w:rsidRDefault="00687F91">
            <w:pPr>
              <w:rPr>
                <w:rFonts w:eastAsia="Times New Roman"/>
                <w:sz w:val="18"/>
                <w:szCs w:val="18"/>
              </w:rPr>
            </w:pPr>
            <w:r w:rsidRPr="006928A1">
              <w:rPr>
                <w:rFonts w:eastAsia="Times New Roman"/>
                <w:sz w:val="18"/>
                <w:szCs w:val="18"/>
              </w:rPr>
              <w:lastRenderedPageBreak/>
              <w:t>Asian Americans</w:t>
            </w:r>
          </w:p>
        </w:tc>
      </w:tr>
      <w:tr w:rsidR="00687F91" w:rsidRPr="006928A1" w14:paraId="01D46CD1" w14:textId="77777777" w:rsidTr="006928A1">
        <w:trPr>
          <w:tblCellSpacing w:w="15" w:type="dxa"/>
        </w:trPr>
        <w:tc>
          <w:tcPr>
            <w:tcW w:w="2963" w:type="dxa"/>
            <w:hideMark/>
          </w:tcPr>
          <w:p w14:paraId="7B5B9780" w14:textId="77777777" w:rsidR="00687F91" w:rsidRPr="006928A1" w:rsidRDefault="00687F91">
            <w:pPr>
              <w:rPr>
                <w:rFonts w:eastAsia="Times New Roman"/>
                <w:sz w:val="18"/>
                <w:szCs w:val="18"/>
              </w:rPr>
            </w:pPr>
            <w:r w:rsidRPr="006928A1">
              <w:rPr>
                <w:rFonts w:eastAsia="Times New Roman"/>
                <w:sz w:val="18"/>
                <w:szCs w:val="18"/>
              </w:rPr>
              <w:t xml:space="preserve">Cultural Adjustment Difficulties Checklist (CADC; </w:t>
            </w:r>
            <w:hyperlink r:id="rId41" w:history="1">
              <w:proofErr w:type="spellStart"/>
              <w:r w:rsidRPr="006928A1">
                <w:rPr>
                  <w:rStyle w:val="Hyperlink"/>
                  <w:rFonts w:eastAsia="Times New Roman"/>
                  <w:sz w:val="18"/>
                  <w:szCs w:val="18"/>
                </w:rPr>
                <w:t>Sodowsky</w:t>
              </w:r>
              <w:proofErr w:type="spellEnd"/>
              <w:r w:rsidRPr="006928A1">
                <w:rPr>
                  <w:rStyle w:val="Hyperlink"/>
                  <w:rFonts w:eastAsia="Times New Roman"/>
                  <w:sz w:val="18"/>
                  <w:szCs w:val="18"/>
                </w:rPr>
                <w:t xml:space="preserve"> and Lai 1997</w:t>
              </w:r>
            </w:hyperlink>
            <w:r w:rsidRPr="006928A1">
              <w:rPr>
                <w:rFonts w:eastAsia="Times New Roman"/>
                <w:sz w:val="18"/>
                <w:szCs w:val="18"/>
              </w:rPr>
              <w:t>)</w:t>
            </w:r>
          </w:p>
        </w:tc>
        <w:tc>
          <w:tcPr>
            <w:tcW w:w="0" w:type="auto"/>
            <w:hideMark/>
          </w:tcPr>
          <w:p w14:paraId="03CFF553" w14:textId="77777777" w:rsidR="00687F91" w:rsidRPr="006928A1" w:rsidRDefault="00687F91">
            <w:pPr>
              <w:rPr>
                <w:rFonts w:eastAsia="Times New Roman"/>
                <w:sz w:val="18"/>
                <w:szCs w:val="18"/>
              </w:rPr>
            </w:pPr>
            <w:r w:rsidRPr="006928A1">
              <w:rPr>
                <w:rFonts w:eastAsia="Times New Roman"/>
                <w:sz w:val="18"/>
                <w:szCs w:val="18"/>
              </w:rPr>
              <w:t xml:space="preserve">The CADC helps avoid potential problems relating to </w:t>
            </w:r>
            <w:hyperlink r:id="rId42" w:history="1">
              <w:r w:rsidRPr="006928A1">
                <w:rPr>
                  <w:rStyle w:val="Hyperlink"/>
                  <w:rFonts w:eastAsia="Times New Roman"/>
                  <w:sz w:val="18"/>
                  <w:szCs w:val="18"/>
                </w:rPr>
                <w:t>acculturation</w:t>
              </w:r>
            </w:hyperlink>
            <w:r w:rsidRPr="006928A1">
              <w:rPr>
                <w:rFonts w:eastAsia="Times New Roman"/>
                <w:sz w:val="18"/>
                <w:szCs w:val="18"/>
              </w:rPr>
              <w:t xml:space="preserve"> by asking about </w:t>
            </w:r>
            <w:hyperlink r:id="rId43" w:history="1">
              <w:r w:rsidRPr="006928A1">
                <w:rPr>
                  <w:rStyle w:val="Hyperlink"/>
                  <w:rFonts w:eastAsia="Times New Roman"/>
                  <w:sz w:val="18"/>
                  <w:szCs w:val="18"/>
                </w:rPr>
                <w:t>language</w:t>
              </w:r>
            </w:hyperlink>
            <w:r w:rsidRPr="006928A1">
              <w:rPr>
                <w:rFonts w:eastAsia="Times New Roman"/>
                <w:sz w:val="18"/>
                <w:szCs w:val="18"/>
              </w:rPr>
              <w:t xml:space="preserve"> use, social customs, family interactions, perceptions of prejudice, friendship networks, and cultural adjustment.</w:t>
            </w:r>
          </w:p>
        </w:tc>
        <w:tc>
          <w:tcPr>
            <w:tcW w:w="0" w:type="auto"/>
            <w:hideMark/>
          </w:tcPr>
          <w:p w14:paraId="5C033350" w14:textId="77777777" w:rsidR="00687F91" w:rsidRPr="006928A1" w:rsidRDefault="00687F91">
            <w:pPr>
              <w:rPr>
                <w:rFonts w:eastAsia="Times New Roman"/>
                <w:sz w:val="18"/>
                <w:szCs w:val="18"/>
              </w:rPr>
            </w:pPr>
            <w:r w:rsidRPr="006928A1">
              <w:rPr>
                <w:rFonts w:eastAsia="Times New Roman"/>
                <w:sz w:val="18"/>
                <w:szCs w:val="18"/>
              </w:rPr>
              <w:t xml:space="preserve">Asian Americans (East </w:t>
            </w:r>
            <w:hyperlink r:id="rId44" w:history="1">
              <w:r w:rsidRPr="006928A1">
                <w:rPr>
                  <w:rStyle w:val="Hyperlink"/>
                  <w:rFonts w:eastAsia="Times New Roman"/>
                  <w:sz w:val="18"/>
                  <w:szCs w:val="18"/>
                </w:rPr>
                <w:t>Asians</w:t>
              </w:r>
            </w:hyperlink>
            <w:r w:rsidRPr="006928A1">
              <w:rPr>
                <w:rFonts w:eastAsia="Times New Roman"/>
                <w:sz w:val="18"/>
                <w:szCs w:val="18"/>
              </w:rPr>
              <w:t>)</w:t>
            </w:r>
          </w:p>
        </w:tc>
      </w:tr>
      <w:tr w:rsidR="00687F91" w:rsidRPr="006928A1" w14:paraId="1356CC05" w14:textId="77777777" w:rsidTr="006928A1">
        <w:trPr>
          <w:tblCellSpacing w:w="15" w:type="dxa"/>
        </w:trPr>
        <w:tc>
          <w:tcPr>
            <w:tcW w:w="2963" w:type="dxa"/>
            <w:hideMark/>
          </w:tcPr>
          <w:p w14:paraId="4D5F3EDA" w14:textId="77777777" w:rsidR="00687F91" w:rsidRPr="006928A1" w:rsidRDefault="00687F91">
            <w:pPr>
              <w:rPr>
                <w:rFonts w:eastAsia="Times New Roman"/>
                <w:sz w:val="18"/>
                <w:szCs w:val="18"/>
              </w:rPr>
            </w:pPr>
            <w:r w:rsidRPr="006928A1">
              <w:rPr>
                <w:rFonts w:eastAsia="Times New Roman"/>
                <w:sz w:val="18"/>
                <w:szCs w:val="18"/>
              </w:rPr>
              <w:t xml:space="preserve">East Asian </w:t>
            </w:r>
            <w:hyperlink r:id="rId45" w:history="1">
              <w:r w:rsidRPr="006928A1">
                <w:rPr>
                  <w:rStyle w:val="Hyperlink"/>
                  <w:rFonts w:eastAsia="Times New Roman"/>
                  <w:sz w:val="18"/>
                  <w:szCs w:val="18"/>
                </w:rPr>
                <w:t>Acculturation</w:t>
              </w:r>
            </w:hyperlink>
            <w:r w:rsidRPr="006928A1">
              <w:rPr>
                <w:rFonts w:eastAsia="Times New Roman"/>
                <w:sz w:val="18"/>
                <w:szCs w:val="18"/>
              </w:rPr>
              <w:t xml:space="preserve"> Measure (</w:t>
            </w:r>
            <w:hyperlink r:id="rId46" w:history="1">
              <w:r w:rsidRPr="006928A1">
                <w:rPr>
                  <w:rStyle w:val="Hyperlink"/>
                  <w:rFonts w:eastAsia="Times New Roman"/>
                  <w:sz w:val="18"/>
                  <w:szCs w:val="18"/>
                </w:rPr>
                <w:t>Barry 2001</w:t>
              </w:r>
            </w:hyperlink>
            <w:r w:rsidRPr="006928A1">
              <w:rPr>
                <w:rFonts w:eastAsia="Times New Roman"/>
                <w:sz w:val="18"/>
                <w:szCs w:val="18"/>
              </w:rPr>
              <w:t>)</w:t>
            </w:r>
          </w:p>
        </w:tc>
        <w:tc>
          <w:tcPr>
            <w:tcW w:w="0" w:type="auto"/>
            <w:hideMark/>
          </w:tcPr>
          <w:p w14:paraId="59FB227D" w14:textId="77777777" w:rsidR="00687F91" w:rsidRPr="006928A1" w:rsidRDefault="00687F91">
            <w:pPr>
              <w:rPr>
                <w:rFonts w:eastAsia="Times New Roman"/>
                <w:sz w:val="18"/>
                <w:szCs w:val="18"/>
              </w:rPr>
            </w:pPr>
            <w:r w:rsidRPr="006928A1">
              <w:rPr>
                <w:rFonts w:eastAsia="Times New Roman"/>
                <w:sz w:val="18"/>
                <w:szCs w:val="18"/>
              </w:rPr>
              <w:t xml:space="preserve">This instrument includes 29 items that assess assimilation, level of separation from other </w:t>
            </w:r>
            <w:hyperlink r:id="rId47" w:history="1">
              <w:r w:rsidRPr="006928A1">
                <w:rPr>
                  <w:rStyle w:val="Hyperlink"/>
                  <w:rFonts w:eastAsia="Times New Roman"/>
                  <w:sz w:val="18"/>
                  <w:szCs w:val="18"/>
                </w:rPr>
                <w:t>Asians</w:t>
              </w:r>
            </w:hyperlink>
            <w:r w:rsidRPr="006928A1">
              <w:rPr>
                <w:rFonts w:eastAsia="Times New Roman"/>
                <w:sz w:val="18"/>
                <w:szCs w:val="18"/>
              </w:rPr>
              <w:t>, integration, and marginalization.</w:t>
            </w:r>
          </w:p>
        </w:tc>
        <w:tc>
          <w:tcPr>
            <w:tcW w:w="0" w:type="auto"/>
            <w:hideMark/>
          </w:tcPr>
          <w:p w14:paraId="1266F878" w14:textId="77777777" w:rsidR="00687F91" w:rsidRPr="006928A1" w:rsidRDefault="00687F91">
            <w:pPr>
              <w:rPr>
                <w:rFonts w:eastAsia="Times New Roman"/>
                <w:sz w:val="18"/>
                <w:szCs w:val="18"/>
              </w:rPr>
            </w:pPr>
            <w:r w:rsidRPr="006928A1">
              <w:rPr>
                <w:rFonts w:eastAsia="Times New Roman"/>
                <w:sz w:val="18"/>
                <w:szCs w:val="18"/>
              </w:rPr>
              <w:t xml:space="preserve">Asian Americans (East </w:t>
            </w:r>
            <w:hyperlink r:id="rId48" w:history="1">
              <w:r w:rsidRPr="006928A1">
                <w:rPr>
                  <w:rStyle w:val="Hyperlink"/>
                  <w:rFonts w:eastAsia="Times New Roman"/>
                  <w:sz w:val="18"/>
                  <w:szCs w:val="18"/>
                </w:rPr>
                <w:t>Asians</w:t>
              </w:r>
            </w:hyperlink>
            <w:r w:rsidRPr="006928A1">
              <w:rPr>
                <w:rFonts w:eastAsia="Times New Roman"/>
                <w:sz w:val="18"/>
                <w:szCs w:val="18"/>
              </w:rPr>
              <w:t>)</w:t>
            </w:r>
          </w:p>
        </w:tc>
      </w:tr>
      <w:tr w:rsidR="00687F91" w:rsidRPr="006928A1" w14:paraId="7ACA6566" w14:textId="77777777" w:rsidTr="006928A1">
        <w:trPr>
          <w:tblCellSpacing w:w="15" w:type="dxa"/>
        </w:trPr>
        <w:tc>
          <w:tcPr>
            <w:tcW w:w="2963" w:type="dxa"/>
            <w:hideMark/>
          </w:tcPr>
          <w:p w14:paraId="097CB87F" w14:textId="77777777" w:rsidR="00687F91" w:rsidRPr="006928A1" w:rsidRDefault="00687F91">
            <w:pPr>
              <w:rPr>
                <w:rFonts w:eastAsia="Times New Roman"/>
                <w:sz w:val="18"/>
                <w:szCs w:val="18"/>
              </w:rPr>
            </w:pPr>
            <w:proofErr w:type="spellStart"/>
            <w:r w:rsidRPr="006928A1">
              <w:rPr>
                <w:rFonts w:eastAsia="Times New Roman"/>
                <w:sz w:val="18"/>
                <w:szCs w:val="18"/>
              </w:rPr>
              <w:t>Suinn</w:t>
            </w:r>
            <w:proofErr w:type="spellEnd"/>
            <w:r w:rsidRPr="006928A1">
              <w:rPr>
                <w:rFonts w:eastAsia="Times New Roman"/>
                <w:sz w:val="18"/>
                <w:szCs w:val="18"/>
              </w:rPr>
              <w:t xml:space="preserve">-Lew Asian Self-Identity </w:t>
            </w:r>
            <w:hyperlink r:id="rId49" w:history="1">
              <w:r w:rsidRPr="006928A1">
                <w:rPr>
                  <w:rStyle w:val="Hyperlink"/>
                  <w:rFonts w:eastAsia="Times New Roman"/>
                  <w:sz w:val="18"/>
                  <w:szCs w:val="18"/>
                </w:rPr>
                <w:t>Acculturation</w:t>
              </w:r>
            </w:hyperlink>
            <w:r w:rsidRPr="006928A1">
              <w:rPr>
                <w:rFonts w:eastAsia="Times New Roman"/>
                <w:sz w:val="18"/>
                <w:szCs w:val="18"/>
              </w:rPr>
              <w:t xml:space="preserve"> Scale (</w:t>
            </w:r>
            <w:proofErr w:type="spellStart"/>
            <w:r w:rsidR="004B3E14">
              <w:rPr>
                <w:rStyle w:val="Hyperlink"/>
                <w:rFonts w:eastAsia="Times New Roman"/>
                <w:sz w:val="18"/>
                <w:szCs w:val="18"/>
              </w:rPr>
              <w:fldChar w:fldCharType="begin"/>
            </w:r>
            <w:r w:rsidR="004B3E14">
              <w:rPr>
                <w:rStyle w:val="Hyperlink"/>
                <w:rFonts w:eastAsia="Times New Roman"/>
                <w:sz w:val="18"/>
                <w:szCs w:val="18"/>
              </w:rPr>
              <w:instrText xml:space="preserve"> HYPERLINK "https://www.ncbi.nlm.nih.gov/books/NBK248425/" </w:instrText>
            </w:r>
            <w:r w:rsidR="004B3E14">
              <w:rPr>
                <w:rStyle w:val="Hyperlink"/>
                <w:rFonts w:eastAsia="Times New Roman"/>
                <w:sz w:val="18"/>
                <w:szCs w:val="18"/>
              </w:rPr>
              <w:fldChar w:fldCharType="separate"/>
            </w:r>
            <w:r w:rsidRPr="006928A1">
              <w:rPr>
                <w:rStyle w:val="Hyperlink"/>
                <w:rFonts w:eastAsia="Times New Roman"/>
                <w:sz w:val="18"/>
                <w:szCs w:val="18"/>
              </w:rPr>
              <w:t>Suinn</w:t>
            </w:r>
            <w:proofErr w:type="spellEnd"/>
            <w:r w:rsidRPr="006928A1">
              <w:rPr>
                <w:rStyle w:val="Hyperlink"/>
                <w:rFonts w:eastAsia="Times New Roman"/>
                <w:sz w:val="18"/>
                <w:szCs w:val="18"/>
              </w:rPr>
              <w:t xml:space="preserve"> et al. 1992</w:t>
            </w:r>
            <w:r w:rsidR="004B3E14">
              <w:rPr>
                <w:rStyle w:val="Hyperlink"/>
                <w:rFonts w:eastAsia="Times New Roman"/>
                <w:sz w:val="18"/>
                <w:szCs w:val="18"/>
              </w:rPr>
              <w:fldChar w:fldCharType="end"/>
            </w:r>
            <w:r w:rsidRPr="006928A1">
              <w:rPr>
                <w:rFonts w:eastAsia="Times New Roman"/>
                <w:sz w:val="18"/>
                <w:szCs w:val="18"/>
              </w:rPr>
              <w:t>)</w:t>
            </w:r>
          </w:p>
        </w:tc>
        <w:tc>
          <w:tcPr>
            <w:tcW w:w="0" w:type="auto"/>
            <w:hideMark/>
          </w:tcPr>
          <w:p w14:paraId="10BEA333" w14:textId="77777777" w:rsidR="00687F91" w:rsidRPr="006928A1" w:rsidRDefault="00687F91">
            <w:pPr>
              <w:rPr>
                <w:rFonts w:eastAsia="Times New Roman"/>
                <w:sz w:val="18"/>
                <w:szCs w:val="18"/>
              </w:rPr>
            </w:pPr>
            <w:r w:rsidRPr="006928A1">
              <w:rPr>
                <w:rFonts w:eastAsia="Times New Roman"/>
                <w:sz w:val="18"/>
                <w:szCs w:val="18"/>
              </w:rPr>
              <w:t xml:space="preserve">This instrument was modeled after the </w:t>
            </w:r>
            <w:hyperlink r:id="rId50" w:history="1">
              <w:r w:rsidRPr="006928A1">
                <w:rPr>
                  <w:rStyle w:val="Hyperlink"/>
                  <w:rFonts w:eastAsia="Times New Roman"/>
                  <w:sz w:val="18"/>
                  <w:szCs w:val="18"/>
                </w:rPr>
                <w:t>Acculturation</w:t>
              </w:r>
            </w:hyperlink>
            <w:r w:rsidRPr="006928A1">
              <w:rPr>
                <w:rFonts w:eastAsia="Times New Roman"/>
                <w:sz w:val="18"/>
                <w:szCs w:val="18"/>
              </w:rPr>
              <w:t xml:space="preserve"> Rating Scale for Mexican Americans, and research indicates it has high reliability.</w:t>
            </w:r>
          </w:p>
        </w:tc>
        <w:tc>
          <w:tcPr>
            <w:tcW w:w="0" w:type="auto"/>
            <w:hideMark/>
          </w:tcPr>
          <w:p w14:paraId="7C87A4CE" w14:textId="77777777" w:rsidR="00687F91" w:rsidRPr="006928A1" w:rsidRDefault="00687F91">
            <w:pPr>
              <w:rPr>
                <w:rFonts w:eastAsia="Times New Roman"/>
                <w:sz w:val="18"/>
                <w:szCs w:val="18"/>
              </w:rPr>
            </w:pPr>
            <w:r w:rsidRPr="006928A1">
              <w:rPr>
                <w:rFonts w:eastAsia="Times New Roman"/>
                <w:sz w:val="18"/>
                <w:szCs w:val="18"/>
              </w:rPr>
              <w:t>Asian Americans</w:t>
            </w:r>
          </w:p>
        </w:tc>
      </w:tr>
      <w:tr w:rsidR="00687F91" w:rsidRPr="006928A1" w14:paraId="2100B297" w14:textId="77777777" w:rsidTr="006928A1">
        <w:trPr>
          <w:tblCellSpacing w:w="15" w:type="dxa"/>
        </w:trPr>
        <w:tc>
          <w:tcPr>
            <w:tcW w:w="2963" w:type="dxa"/>
            <w:hideMark/>
          </w:tcPr>
          <w:p w14:paraId="034963DE" w14:textId="77777777" w:rsidR="00687F91" w:rsidRPr="006928A1" w:rsidRDefault="00687F91">
            <w:pPr>
              <w:rPr>
                <w:rFonts w:eastAsia="Times New Roman"/>
                <w:sz w:val="18"/>
                <w:szCs w:val="18"/>
              </w:rPr>
            </w:pPr>
            <w:r w:rsidRPr="006928A1">
              <w:rPr>
                <w:rFonts w:eastAsia="Times New Roman"/>
                <w:sz w:val="18"/>
                <w:szCs w:val="18"/>
              </w:rPr>
              <w:t>Internal-External Ethnic Identity Measure (</w:t>
            </w:r>
            <w:hyperlink r:id="rId51" w:history="1">
              <w:r w:rsidRPr="006928A1">
                <w:rPr>
                  <w:rStyle w:val="Hyperlink"/>
                  <w:rFonts w:eastAsia="Times New Roman"/>
                  <w:sz w:val="18"/>
                  <w:szCs w:val="18"/>
                </w:rPr>
                <w:t>Kwan 1997</w:t>
              </w:r>
            </w:hyperlink>
            <w:r w:rsidRPr="006928A1">
              <w:rPr>
                <w:rFonts w:eastAsia="Times New Roman"/>
                <w:sz w:val="18"/>
                <w:szCs w:val="18"/>
              </w:rPr>
              <w:t>)</w:t>
            </w:r>
          </w:p>
        </w:tc>
        <w:tc>
          <w:tcPr>
            <w:tcW w:w="0" w:type="auto"/>
            <w:hideMark/>
          </w:tcPr>
          <w:p w14:paraId="3188E263" w14:textId="77777777" w:rsidR="00687F91" w:rsidRPr="006928A1" w:rsidRDefault="00687F91">
            <w:pPr>
              <w:rPr>
                <w:rFonts w:eastAsia="Times New Roman"/>
                <w:sz w:val="18"/>
                <w:szCs w:val="18"/>
              </w:rPr>
            </w:pPr>
            <w:r w:rsidRPr="006928A1">
              <w:rPr>
                <w:rFonts w:eastAsia="Times New Roman"/>
                <w:sz w:val="18"/>
                <w:szCs w:val="18"/>
              </w:rPr>
              <w:t xml:space="preserve">The instrument evaluates ethnic friendships and affiliation, </w:t>
            </w:r>
            <w:proofErr w:type="spellStart"/>
            <w:r w:rsidRPr="006928A1">
              <w:rPr>
                <w:rFonts w:eastAsia="Times New Roman"/>
                <w:sz w:val="18"/>
                <w:szCs w:val="18"/>
              </w:rPr>
              <w:t>ethnocommunal</w:t>
            </w:r>
            <w:proofErr w:type="spellEnd"/>
            <w:r w:rsidRPr="006928A1">
              <w:rPr>
                <w:rFonts w:eastAsia="Times New Roman"/>
                <w:sz w:val="18"/>
                <w:szCs w:val="18"/>
              </w:rPr>
              <w:t xml:space="preserve"> expression, ethnic food orientation, and family collectivism, in order to differentiate three Chinese American identity groups: (1) internal, (2) external, and (3) internal-external undifferentiated.</w:t>
            </w:r>
          </w:p>
        </w:tc>
        <w:tc>
          <w:tcPr>
            <w:tcW w:w="0" w:type="auto"/>
            <w:hideMark/>
          </w:tcPr>
          <w:p w14:paraId="6B61C648" w14:textId="77777777" w:rsidR="00687F91" w:rsidRPr="006928A1" w:rsidRDefault="00687F91">
            <w:pPr>
              <w:rPr>
                <w:rFonts w:eastAsia="Times New Roman"/>
                <w:sz w:val="18"/>
                <w:szCs w:val="18"/>
              </w:rPr>
            </w:pPr>
            <w:r w:rsidRPr="006928A1">
              <w:rPr>
                <w:rFonts w:eastAsia="Times New Roman"/>
                <w:sz w:val="18"/>
                <w:szCs w:val="18"/>
              </w:rPr>
              <w:t>Chinese Americans</w:t>
            </w:r>
          </w:p>
        </w:tc>
      </w:tr>
      <w:tr w:rsidR="00687F91" w:rsidRPr="006928A1" w14:paraId="3DCFAEE0" w14:textId="77777777" w:rsidTr="006928A1">
        <w:trPr>
          <w:tblCellSpacing w:w="15" w:type="dxa"/>
        </w:trPr>
        <w:tc>
          <w:tcPr>
            <w:tcW w:w="2963" w:type="dxa"/>
            <w:hideMark/>
          </w:tcPr>
          <w:p w14:paraId="32D01D34" w14:textId="77777777" w:rsidR="00687F91" w:rsidRPr="006928A1" w:rsidRDefault="00687F91">
            <w:pPr>
              <w:rPr>
                <w:rFonts w:eastAsia="Times New Roman"/>
                <w:sz w:val="18"/>
                <w:szCs w:val="18"/>
              </w:rPr>
            </w:pPr>
            <w:r w:rsidRPr="006928A1">
              <w:rPr>
                <w:rFonts w:eastAsia="Times New Roman"/>
                <w:sz w:val="18"/>
                <w:szCs w:val="18"/>
              </w:rPr>
              <w:t xml:space="preserve">Marín and Marín </w:t>
            </w:r>
            <w:hyperlink r:id="rId52" w:history="1">
              <w:r w:rsidRPr="006928A1">
                <w:rPr>
                  <w:rStyle w:val="Hyperlink"/>
                  <w:rFonts w:eastAsia="Times New Roman"/>
                  <w:sz w:val="18"/>
                  <w:szCs w:val="18"/>
                </w:rPr>
                <w:t>Acculturation</w:t>
              </w:r>
            </w:hyperlink>
            <w:r w:rsidRPr="006928A1">
              <w:rPr>
                <w:rFonts w:eastAsia="Times New Roman"/>
                <w:sz w:val="18"/>
                <w:szCs w:val="18"/>
              </w:rPr>
              <w:t xml:space="preserve"> Scale (</w:t>
            </w:r>
            <w:hyperlink r:id="rId53" w:history="1">
              <w:r w:rsidRPr="006928A1">
                <w:rPr>
                  <w:rStyle w:val="Hyperlink"/>
                  <w:rFonts w:eastAsia="Times New Roman"/>
                  <w:sz w:val="18"/>
                  <w:szCs w:val="18"/>
                </w:rPr>
                <w:t>Marín et al. 1987</w:t>
              </w:r>
            </w:hyperlink>
            <w:r w:rsidRPr="006928A1">
              <w:rPr>
                <w:rFonts w:eastAsia="Times New Roman"/>
                <w:sz w:val="18"/>
                <w:szCs w:val="18"/>
              </w:rPr>
              <w:t>)</w:t>
            </w:r>
          </w:p>
        </w:tc>
        <w:tc>
          <w:tcPr>
            <w:tcW w:w="0" w:type="auto"/>
            <w:hideMark/>
          </w:tcPr>
          <w:p w14:paraId="74FD1F44" w14:textId="77777777" w:rsidR="00687F91" w:rsidRPr="006928A1" w:rsidRDefault="00687F91">
            <w:pPr>
              <w:rPr>
                <w:rFonts w:eastAsia="Times New Roman"/>
                <w:sz w:val="18"/>
                <w:szCs w:val="18"/>
              </w:rPr>
            </w:pPr>
            <w:r w:rsidRPr="006928A1">
              <w:rPr>
                <w:rFonts w:eastAsia="Times New Roman"/>
                <w:sz w:val="18"/>
                <w:szCs w:val="18"/>
              </w:rPr>
              <w:t xml:space="preserve">This scale is a 12-item instrument that assesses three domains: (1) </w:t>
            </w:r>
            <w:hyperlink r:id="rId54" w:history="1">
              <w:r w:rsidRPr="006928A1">
                <w:rPr>
                  <w:rStyle w:val="Hyperlink"/>
                  <w:rFonts w:eastAsia="Times New Roman"/>
                  <w:sz w:val="18"/>
                  <w:szCs w:val="18"/>
                </w:rPr>
                <w:t>language</w:t>
              </w:r>
            </w:hyperlink>
            <w:r w:rsidRPr="006928A1">
              <w:rPr>
                <w:rFonts w:eastAsia="Times New Roman"/>
                <w:sz w:val="18"/>
                <w:szCs w:val="18"/>
              </w:rPr>
              <w:t xml:space="preserve"> use, (2) media preferences, and (3) ethnic diversity of social relations. It is available online at </w:t>
            </w:r>
            <w:hyperlink r:id="rId55" w:history="1">
              <w:r w:rsidRPr="006928A1">
                <w:rPr>
                  <w:rStyle w:val="Hyperlink"/>
                  <w:rFonts w:eastAsia="Times New Roman"/>
                  <w:sz w:val="18"/>
                  <w:szCs w:val="18"/>
                </w:rPr>
                <w:t>http://www​.columbia.edu​/cu/ssw/projects/pmap​/docs/gupta_acculturation.pdf</w:t>
              </w:r>
            </w:hyperlink>
          </w:p>
        </w:tc>
        <w:tc>
          <w:tcPr>
            <w:tcW w:w="0" w:type="auto"/>
            <w:hideMark/>
          </w:tcPr>
          <w:p w14:paraId="2DA56991" w14:textId="77777777" w:rsidR="00687F91" w:rsidRPr="006928A1" w:rsidRDefault="00687F91">
            <w:pPr>
              <w:rPr>
                <w:rFonts w:eastAsia="Times New Roman"/>
                <w:sz w:val="18"/>
                <w:szCs w:val="18"/>
              </w:rPr>
            </w:pPr>
            <w:r w:rsidRPr="006928A1">
              <w:rPr>
                <w:rFonts w:eastAsia="Times New Roman"/>
                <w:sz w:val="18"/>
                <w:szCs w:val="18"/>
              </w:rPr>
              <w:t>Chinese Americans</w:t>
            </w:r>
          </w:p>
        </w:tc>
      </w:tr>
      <w:tr w:rsidR="00687F91" w:rsidRPr="006928A1" w14:paraId="4FD76911" w14:textId="77777777" w:rsidTr="006928A1">
        <w:trPr>
          <w:tblCellSpacing w:w="15" w:type="dxa"/>
        </w:trPr>
        <w:tc>
          <w:tcPr>
            <w:tcW w:w="2963" w:type="dxa"/>
            <w:hideMark/>
          </w:tcPr>
          <w:p w14:paraId="6374A0FD" w14:textId="77777777" w:rsidR="00687F91" w:rsidRPr="006928A1" w:rsidRDefault="00687F91">
            <w:pPr>
              <w:rPr>
                <w:rFonts w:eastAsia="Times New Roman"/>
                <w:sz w:val="18"/>
                <w:szCs w:val="18"/>
              </w:rPr>
            </w:pPr>
            <w:r w:rsidRPr="006928A1">
              <w:rPr>
                <w:rFonts w:eastAsia="Times New Roman"/>
                <w:sz w:val="18"/>
                <w:szCs w:val="18"/>
              </w:rPr>
              <w:t xml:space="preserve">Behavioral </w:t>
            </w:r>
            <w:hyperlink r:id="rId56" w:history="1">
              <w:r w:rsidRPr="006928A1">
                <w:rPr>
                  <w:rStyle w:val="Hyperlink"/>
                  <w:rFonts w:eastAsia="Times New Roman"/>
                  <w:sz w:val="18"/>
                  <w:szCs w:val="18"/>
                </w:rPr>
                <w:t>Acculturation</w:t>
              </w:r>
            </w:hyperlink>
            <w:r w:rsidRPr="006928A1">
              <w:rPr>
                <w:rFonts w:eastAsia="Times New Roman"/>
                <w:sz w:val="18"/>
                <w:szCs w:val="18"/>
              </w:rPr>
              <w:t xml:space="preserve"> Scale and Value </w:t>
            </w:r>
            <w:hyperlink r:id="rId57" w:history="1">
              <w:r w:rsidRPr="006928A1">
                <w:rPr>
                  <w:rStyle w:val="Hyperlink"/>
                  <w:rFonts w:eastAsia="Times New Roman"/>
                  <w:sz w:val="18"/>
                  <w:szCs w:val="18"/>
                </w:rPr>
                <w:t>Acculturation</w:t>
              </w:r>
            </w:hyperlink>
            <w:r w:rsidRPr="006928A1">
              <w:rPr>
                <w:rFonts w:eastAsia="Times New Roman"/>
                <w:sz w:val="18"/>
                <w:szCs w:val="18"/>
              </w:rPr>
              <w:t xml:space="preserve"> Scale (</w:t>
            </w:r>
            <w:proofErr w:type="spellStart"/>
            <w:r w:rsidR="004B3E14">
              <w:rPr>
                <w:rStyle w:val="Hyperlink"/>
                <w:rFonts w:eastAsia="Times New Roman"/>
                <w:sz w:val="18"/>
                <w:szCs w:val="18"/>
              </w:rPr>
              <w:fldChar w:fldCharType="begin"/>
            </w:r>
            <w:r w:rsidR="004B3E14">
              <w:rPr>
                <w:rStyle w:val="Hyperlink"/>
                <w:rFonts w:eastAsia="Times New Roman"/>
                <w:sz w:val="18"/>
                <w:szCs w:val="18"/>
              </w:rPr>
              <w:instrText xml:space="preserve"> HYPERLINK "https://www.ncbi.nlm.nih.gov/books/NBK248425/" </w:instrText>
            </w:r>
            <w:r w:rsidR="004B3E14">
              <w:rPr>
                <w:rStyle w:val="Hyperlink"/>
                <w:rFonts w:eastAsia="Times New Roman"/>
                <w:sz w:val="18"/>
                <w:szCs w:val="18"/>
              </w:rPr>
              <w:fldChar w:fldCharType="separate"/>
            </w:r>
            <w:r w:rsidRPr="006928A1">
              <w:rPr>
                <w:rStyle w:val="Hyperlink"/>
                <w:rFonts w:eastAsia="Times New Roman"/>
                <w:sz w:val="18"/>
                <w:szCs w:val="18"/>
              </w:rPr>
              <w:t>Szapocznik</w:t>
            </w:r>
            <w:proofErr w:type="spellEnd"/>
            <w:r w:rsidRPr="006928A1">
              <w:rPr>
                <w:rStyle w:val="Hyperlink"/>
                <w:rFonts w:eastAsia="Times New Roman"/>
                <w:sz w:val="18"/>
                <w:szCs w:val="18"/>
              </w:rPr>
              <w:t xml:space="preserve"> et al. 1978</w:t>
            </w:r>
            <w:r w:rsidR="004B3E14">
              <w:rPr>
                <w:rStyle w:val="Hyperlink"/>
                <w:rFonts w:eastAsia="Times New Roman"/>
                <w:sz w:val="18"/>
                <w:szCs w:val="18"/>
              </w:rPr>
              <w:fldChar w:fldCharType="end"/>
            </w:r>
            <w:r w:rsidRPr="006928A1">
              <w:rPr>
                <w:rFonts w:eastAsia="Times New Roman"/>
                <w:sz w:val="18"/>
                <w:szCs w:val="18"/>
              </w:rPr>
              <w:t>)</w:t>
            </w:r>
          </w:p>
        </w:tc>
        <w:tc>
          <w:tcPr>
            <w:tcW w:w="0" w:type="auto"/>
            <w:hideMark/>
          </w:tcPr>
          <w:p w14:paraId="0C50ED0B" w14:textId="77777777" w:rsidR="00687F91" w:rsidRPr="006928A1" w:rsidRDefault="00687F91">
            <w:pPr>
              <w:rPr>
                <w:rFonts w:eastAsia="Times New Roman"/>
                <w:sz w:val="18"/>
                <w:szCs w:val="18"/>
              </w:rPr>
            </w:pPr>
            <w:r w:rsidRPr="006928A1">
              <w:rPr>
                <w:rFonts w:eastAsia="Times New Roman"/>
                <w:sz w:val="18"/>
                <w:szCs w:val="18"/>
              </w:rPr>
              <w:t xml:space="preserve">These two scales, used in conjunction with one another, ask individuals about behaviors and values in order to determine </w:t>
            </w:r>
            <w:hyperlink r:id="rId58" w:history="1">
              <w:r w:rsidRPr="006928A1">
                <w:rPr>
                  <w:rStyle w:val="Hyperlink"/>
                  <w:rFonts w:eastAsia="Times New Roman"/>
                  <w:sz w:val="18"/>
                  <w:szCs w:val="18"/>
                </w:rPr>
                <w:t>acculturation</w:t>
              </w:r>
            </w:hyperlink>
            <w:r w:rsidRPr="006928A1">
              <w:rPr>
                <w:rFonts w:eastAsia="Times New Roman"/>
                <w:sz w:val="18"/>
                <w:szCs w:val="18"/>
              </w:rPr>
              <w:t xml:space="preserve">. If used singly, the behavioral scale is the superior measure for </w:t>
            </w:r>
            <w:hyperlink r:id="rId59" w:history="1">
              <w:r w:rsidRPr="006928A1">
                <w:rPr>
                  <w:rStyle w:val="Hyperlink"/>
                  <w:rFonts w:eastAsia="Times New Roman"/>
                  <w:sz w:val="18"/>
                  <w:szCs w:val="18"/>
                </w:rPr>
                <w:t>acculturation</w:t>
              </w:r>
            </w:hyperlink>
            <w:r w:rsidRPr="006928A1">
              <w:rPr>
                <w:rFonts w:eastAsia="Times New Roman"/>
                <w:sz w:val="18"/>
                <w:szCs w:val="18"/>
              </w:rPr>
              <w:t>.</w:t>
            </w:r>
          </w:p>
        </w:tc>
        <w:tc>
          <w:tcPr>
            <w:tcW w:w="0" w:type="auto"/>
            <w:hideMark/>
          </w:tcPr>
          <w:p w14:paraId="17A27E63" w14:textId="77777777" w:rsidR="00687F91" w:rsidRPr="006928A1" w:rsidRDefault="00687F91">
            <w:pPr>
              <w:rPr>
                <w:rFonts w:eastAsia="Times New Roman"/>
                <w:sz w:val="18"/>
                <w:szCs w:val="18"/>
              </w:rPr>
            </w:pPr>
            <w:r w:rsidRPr="006928A1">
              <w:rPr>
                <w:rFonts w:eastAsia="Times New Roman"/>
                <w:sz w:val="18"/>
                <w:szCs w:val="18"/>
              </w:rPr>
              <w:t>Cuban Americans</w:t>
            </w:r>
          </w:p>
        </w:tc>
      </w:tr>
      <w:tr w:rsidR="00687F91" w:rsidRPr="006928A1" w14:paraId="09925927" w14:textId="77777777" w:rsidTr="006928A1">
        <w:trPr>
          <w:tblCellSpacing w:w="15" w:type="dxa"/>
        </w:trPr>
        <w:tc>
          <w:tcPr>
            <w:tcW w:w="2963" w:type="dxa"/>
            <w:hideMark/>
          </w:tcPr>
          <w:p w14:paraId="15E6877F" w14:textId="77777777" w:rsidR="00687F91" w:rsidRPr="006928A1" w:rsidRDefault="00687F91">
            <w:pPr>
              <w:rPr>
                <w:rFonts w:eastAsia="Times New Roman"/>
                <w:sz w:val="18"/>
                <w:szCs w:val="18"/>
              </w:rPr>
            </w:pPr>
            <w:r w:rsidRPr="006928A1">
              <w:rPr>
                <w:rFonts w:eastAsia="Times New Roman"/>
                <w:sz w:val="18"/>
                <w:szCs w:val="18"/>
              </w:rPr>
              <w:t xml:space="preserve">Na </w:t>
            </w:r>
            <w:proofErr w:type="spellStart"/>
            <w:r w:rsidRPr="006928A1">
              <w:rPr>
                <w:rFonts w:eastAsia="Times New Roman"/>
                <w:sz w:val="18"/>
                <w:szCs w:val="18"/>
              </w:rPr>
              <w:t>Mea</w:t>
            </w:r>
            <w:proofErr w:type="spellEnd"/>
            <w:r w:rsidRPr="006928A1">
              <w:rPr>
                <w:rFonts w:eastAsia="Times New Roman"/>
                <w:sz w:val="18"/>
                <w:szCs w:val="18"/>
              </w:rPr>
              <w:t xml:space="preserve"> Hawai'i (Hawaiian Ways), A Hawaiian </w:t>
            </w:r>
            <w:hyperlink r:id="rId60" w:history="1">
              <w:r w:rsidRPr="006928A1">
                <w:rPr>
                  <w:rStyle w:val="Hyperlink"/>
                  <w:rFonts w:eastAsia="Times New Roman"/>
                  <w:sz w:val="18"/>
                  <w:szCs w:val="18"/>
                </w:rPr>
                <w:t>Acculturation</w:t>
              </w:r>
            </w:hyperlink>
            <w:r w:rsidRPr="006928A1">
              <w:rPr>
                <w:rFonts w:eastAsia="Times New Roman"/>
                <w:sz w:val="18"/>
                <w:szCs w:val="18"/>
              </w:rPr>
              <w:t xml:space="preserve"> Scale (</w:t>
            </w:r>
            <w:proofErr w:type="spellStart"/>
            <w:r w:rsidR="004B3E14">
              <w:rPr>
                <w:rStyle w:val="Hyperlink"/>
                <w:rFonts w:eastAsia="Times New Roman"/>
                <w:sz w:val="18"/>
                <w:szCs w:val="18"/>
              </w:rPr>
              <w:fldChar w:fldCharType="begin"/>
            </w:r>
            <w:r w:rsidR="004B3E14">
              <w:rPr>
                <w:rStyle w:val="Hyperlink"/>
                <w:rFonts w:eastAsia="Times New Roman"/>
                <w:sz w:val="18"/>
                <w:szCs w:val="18"/>
              </w:rPr>
              <w:instrText xml:space="preserve"> HYPERLINK "https://www.ncbi.nlm.nih.gov/books/NBK248425/" </w:instrText>
            </w:r>
            <w:r w:rsidR="004B3E14">
              <w:rPr>
                <w:rStyle w:val="Hyperlink"/>
                <w:rFonts w:eastAsia="Times New Roman"/>
                <w:sz w:val="18"/>
                <w:szCs w:val="18"/>
              </w:rPr>
              <w:fldChar w:fldCharType="separate"/>
            </w:r>
            <w:r w:rsidRPr="006928A1">
              <w:rPr>
                <w:rStyle w:val="Hyperlink"/>
                <w:rFonts w:eastAsia="Times New Roman"/>
                <w:sz w:val="18"/>
                <w:szCs w:val="18"/>
              </w:rPr>
              <w:t>Rezentes</w:t>
            </w:r>
            <w:proofErr w:type="spellEnd"/>
            <w:r w:rsidRPr="006928A1">
              <w:rPr>
                <w:rStyle w:val="Hyperlink"/>
                <w:rFonts w:eastAsia="Times New Roman"/>
                <w:sz w:val="18"/>
                <w:szCs w:val="18"/>
              </w:rPr>
              <w:t xml:space="preserve"> 1993</w:t>
            </w:r>
            <w:r w:rsidR="004B3E14">
              <w:rPr>
                <w:rStyle w:val="Hyperlink"/>
                <w:rFonts w:eastAsia="Times New Roman"/>
                <w:sz w:val="18"/>
                <w:szCs w:val="18"/>
              </w:rPr>
              <w:fldChar w:fldCharType="end"/>
            </w:r>
            <w:r w:rsidRPr="006928A1">
              <w:rPr>
                <w:rFonts w:eastAsia="Times New Roman"/>
                <w:sz w:val="18"/>
                <w:szCs w:val="18"/>
              </w:rPr>
              <w:t>)</w:t>
            </w:r>
          </w:p>
        </w:tc>
        <w:tc>
          <w:tcPr>
            <w:tcW w:w="0" w:type="auto"/>
            <w:hideMark/>
          </w:tcPr>
          <w:p w14:paraId="47E8D034" w14:textId="77777777" w:rsidR="00687F91" w:rsidRPr="006928A1" w:rsidRDefault="00687F91">
            <w:pPr>
              <w:rPr>
                <w:rFonts w:eastAsia="Times New Roman"/>
                <w:sz w:val="18"/>
                <w:szCs w:val="18"/>
              </w:rPr>
            </w:pPr>
            <w:r w:rsidRPr="006928A1">
              <w:rPr>
                <w:rFonts w:eastAsia="Times New Roman"/>
                <w:sz w:val="18"/>
                <w:szCs w:val="18"/>
              </w:rPr>
              <w:t>This is a 34-item scale. An adolescent version is available (</w:t>
            </w:r>
            <w:proofErr w:type="spellStart"/>
            <w:r w:rsidRPr="006928A1">
              <w:rPr>
                <w:rFonts w:eastAsia="Times New Roman"/>
                <w:sz w:val="18"/>
                <w:szCs w:val="18"/>
              </w:rPr>
              <w:t>Hishinuma</w:t>
            </w:r>
            <w:proofErr w:type="spellEnd"/>
            <w:r w:rsidRPr="006928A1">
              <w:rPr>
                <w:rFonts w:eastAsia="Times New Roman"/>
                <w:sz w:val="18"/>
                <w:szCs w:val="18"/>
              </w:rPr>
              <w:t xml:space="preserve"> et al. 2000).</w:t>
            </w:r>
          </w:p>
        </w:tc>
        <w:tc>
          <w:tcPr>
            <w:tcW w:w="0" w:type="auto"/>
            <w:hideMark/>
          </w:tcPr>
          <w:p w14:paraId="49883627" w14:textId="77777777" w:rsidR="00687F91" w:rsidRPr="006928A1" w:rsidRDefault="00687F91">
            <w:pPr>
              <w:rPr>
                <w:rFonts w:eastAsia="Times New Roman"/>
                <w:sz w:val="18"/>
                <w:szCs w:val="18"/>
              </w:rPr>
            </w:pPr>
            <w:r w:rsidRPr="006928A1">
              <w:rPr>
                <w:rFonts w:eastAsia="Times New Roman"/>
                <w:sz w:val="18"/>
                <w:szCs w:val="18"/>
              </w:rPr>
              <w:t>Native Hawaiians</w:t>
            </w:r>
          </w:p>
        </w:tc>
      </w:tr>
      <w:tr w:rsidR="00687F91" w:rsidRPr="006928A1" w14:paraId="28DF115A" w14:textId="77777777" w:rsidTr="006928A1">
        <w:trPr>
          <w:tblCellSpacing w:w="15" w:type="dxa"/>
        </w:trPr>
        <w:tc>
          <w:tcPr>
            <w:tcW w:w="2963" w:type="dxa"/>
            <w:hideMark/>
          </w:tcPr>
          <w:p w14:paraId="4E72DE9F" w14:textId="77777777" w:rsidR="00687F91" w:rsidRPr="006928A1" w:rsidRDefault="00687F91">
            <w:pPr>
              <w:rPr>
                <w:rFonts w:eastAsia="Times New Roman"/>
                <w:sz w:val="18"/>
                <w:szCs w:val="18"/>
              </w:rPr>
            </w:pPr>
            <w:r w:rsidRPr="006928A1">
              <w:rPr>
                <w:rFonts w:eastAsia="Times New Roman"/>
                <w:sz w:val="18"/>
                <w:szCs w:val="18"/>
              </w:rPr>
              <w:t xml:space="preserve">Abbreviated Multidimensional </w:t>
            </w:r>
            <w:hyperlink r:id="rId61" w:history="1">
              <w:r w:rsidRPr="006928A1">
                <w:rPr>
                  <w:rStyle w:val="Hyperlink"/>
                  <w:rFonts w:eastAsia="Times New Roman"/>
                  <w:sz w:val="18"/>
                  <w:szCs w:val="18"/>
                </w:rPr>
                <w:t>Acculturation</w:t>
              </w:r>
            </w:hyperlink>
            <w:r w:rsidRPr="006928A1">
              <w:rPr>
                <w:rFonts w:eastAsia="Times New Roman"/>
                <w:sz w:val="18"/>
                <w:szCs w:val="18"/>
              </w:rPr>
              <w:t xml:space="preserve"> Scale (AMAS-ZABB; </w:t>
            </w:r>
            <w:hyperlink r:id="rId62" w:history="1">
              <w:proofErr w:type="spellStart"/>
              <w:r w:rsidRPr="006928A1">
                <w:rPr>
                  <w:rStyle w:val="Hyperlink"/>
                  <w:rFonts w:eastAsia="Times New Roman"/>
                  <w:sz w:val="18"/>
                  <w:szCs w:val="18"/>
                </w:rPr>
                <w:t>Zea</w:t>
              </w:r>
              <w:proofErr w:type="spellEnd"/>
              <w:r w:rsidRPr="006928A1">
                <w:rPr>
                  <w:rStyle w:val="Hyperlink"/>
                  <w:rFonts w:eastAsia="Times New Roman"/>
                  <w:sz w:val="18"/>
                  <w:szCs w:val="18"/>
                </w:rPr>
                <w:t xml:space="preserve"> et al. 2003</w:t>
              </w:r>
            </w:hyperlink>
            <w:r w:rsidRPr="006928A1">
              <w:rPr>
                <w:rFonts w:eastAsia="Times New Roman"/>
                <w:sz w:val="18"/>
                <w:szCs w:val="18"/>
              </w:rPr>
              <w:t>)</w:t>
            </w:r>
          </w:p>
        </w:tc>
        <w:tc>
          <w:tcPr>
            <w:tcW w:w="0" w:type="auto"/>
            <w:hideMark/>
          </w:tcPr>
          <w:p w14:paraId="27D34F1B" w14:textId="77777777" w:rsidR="00687F91" w:rsidRPr="006928A1" w:rsidRDefault="00687F91">
            <w:pPr>
              <w:rPr>
                <w:rFonts w:eastAsia="Times New Roman"/>
                <w:sz w:val="18"/>
                <w:szCs w:val="18"/>
              </w:rPr>
            </w:pPr>
            <w:r w:rsidRPr="006928A1">
              <w:rPr>
                <w:rFonts w:eastAsia="Times New Roman"/>
                <w:sz w:val="18"/>
                <w:szCs w:val="18"/>
              </w:rPr>
              <w:t xml:space="preserve">The AMAS-ZABB is a multidimensional, bilinear, 42-item scale that evaluates identity, </w:t>
            </w:r>
            <w:hyperlink r:id="rId63" w:history="1">
              <w:r w:rsidRPr="006928A1">
                <w:rPr>
                  <w:rStyle w:val="Hyperlink"/>
                  <w:rFonts w:eastAsia="Times New Roman"/>
                  <w:sz w:val="18"/>
                  <w:szCs w:val="18"/>
                </w:rPr>
                <w:t>language</w:t>
              </w:r>
            </w:hyperlink>
            <w:r w:rsidRPr="006928A1">
              <w:rPr>
                <w:rFonts w:eastAsia="Times New Roman"/>
                <w:sz w:val="18"/>
                <w:szCs w:val="18"/>
              </w:rPr>
              <w:t xml:space="preserve"> competence, and </w:t>
            </w:r>
            <w:hyperlink r:id="rId64" w:history="1">
              <w:r w:rsidRPr="006928A1">
                <w:rPr>
                  <w:rStyle w:val="Hyperlink"/>
                  <w:rFonts w:eastAsia="Times New Roman"/>
                  <w:sz w:val="18"/>
                  <w:szCs w:val="18"/>
                </w:rPr>
                <w:t>cultural competence</w:t>
              </w:r>
            </w:hyperlink>
            <w:r w:rsidRPr="006928A1">
              <w:rPr>
                <w:rFonts w:eastAsia="Times New Roman"/>
                <w:sz w:val="18"/>
                <w:szCs w:val="18"/>
              </w:rPr>
              <w:t>.</w:t>
            </w:r>
          </w:p>
        </w:tc>
        <w:tc>
          <w:tcPr>
            <w:tcW w:w="0" w:type="auto"/>
            <w:hideMark/>
          </w:tcPr>
          <w:p w14:paraId="708E9460" w14:textId="77777777" w:rsidR="00687F91" w:rsidRPr="006928A1" w:rsidRDefault="004B3E14">
            <w:pPr>
              <w:rPr>
                <w:rFonts w:eastAsia="Times New Roman"/>
                <w:sz w:val="18"/>
                <w:szCs w:val="18"/>
              </w:rPr>
            </w:pPr>
            <w:hyperlink r:id="rId65" w:history="1">
              <w:r w:rsidR="00687F91" w:rsidRPr="006928A1">
                <w:rPr>
                  <w:rStyle w:val="Hyperlink"/>
                  <w:rFonts w:eastAsia="Times New Roman"/>
                  <w:sz w:val="18"/>
                  <w:szCs w:val="18"/>
                </w:rPr>
                <w:t>Latinos</w:t>
              </w:r>
            </w:hyperlink>
          </w:p>
        </w:tc>
      </w:tr>
      <w:tr w:rsidR="00687F91" w:rsidRPr="006928A1" w14:paraId="14D49939" w14:textId="77777777" w:rsidTr="006928A1">
        <w:trPr>
          <w:tblCellSpacing w:w="15" w:type="dxa"/>
        </w:trPr>
        <w:tc>
          <w:tcPr>
            <w:tcW w:w="2963" w:type="dxa"/>
            <w:hideMark/>
          </w:tcPr>
          <w:p w14:paraId="10A96185" w14:textId="77777777" w:rsidR="00687F91" w:rsidRPr="006928A1" w:rsidRDefault="004B3E14">
            <w:pPr>
              <w:rPr>
                <w:rFonts w:eastAsia="Times New Roman"/>
                <w:sz w:val="18"/>
                <w:szCs w:val="18"/>
              </w:rPr>
            </w:pPr>
            <w:hyperlink r:id="rId66" w:history="1">
              <w:r w:rsidR="00687F91" w:rsidRPr="006928A1">
                <w:rPr>
                  <w:rStyle w:val="Hyperlink"/>
                  <w:rFonts w:eastAsia="Times New Roman"/>
                  <w:sz w:val="18"/>
                  <w:szCs w:val="18"/>
                </w:rPr>
                <w:t>Acculturation</w:t>
              </w:r>
            </w:hyperlink>
            <w:r w:rsidR="00687F91" w:rsidRPr="006928A1">
              <w:rPr>
                <w:rFonts w:eastAsia="Times New Roman"/>
                <w:sz w:val="18"/>
                <w:szCs w:val="18"/>
              </w:rPr>
              <w:t xml:space="preserve"> Scale (</w:t>
            </w:r>
            <w:hyperlink r:id="rId67" w:history="1">
              <w:r w:rsidR="00687F91" w:rsidRPr="006928A1">
                <w:rPr>
                  <w:rStyle w:val="Hyperlink"/>
                  <w:rFonts w:eastAsia="Times New Roman"/>
                  <w:sz w:val="18"/>
                  <w:szCs w:val="18"/>
                </w:rPr>
                <w:t>Marin et al. 1987</w:t>
              </w:r>
            </w:hyperlink>
            <w:r w:rsidR="00687F91" w:rsidRPr="006928A1">
              <w:rPr>
                <w:rFonts w:eastAsia="Times New Roman"/>
                <w:sz w:val="18"/>
                <w:szCs w:val="18"/>
              </w:rPr>
              <w:t>)</w:t>
            </w:r>
          </w:p>
        </w:tc>
        <w:tc>
          <w:tcPr>
            <w:tcW w:w="0" w:type="auto"/>
            <w:hideMark/>
          </w:tcPr>
          <w:p w14:paraId="4D0EEB28" w14:textId="77777777" w:rsidR="00687F91" w:rsidRPr="006928A1" w:rsidRDefault="00687F91">
            <w:pPr>
              <w:rPr>
                <w:rFonts w:eastAsia="Times New Roman"/>
                <w:sz w:val="18"/>
                <w:szCs w:val="18"/>
              </w:rPr>
            </w:pPr>
            <w:r w:rsidRPr="006928A1">
              <w:rPr>
                <w:rFonts w:eastAsia="Times New Roman"/>
                <w:sz w:val="18"/>
                <w:szCs w:val="18"/>
              </w:rPr>
              <w:t xml:space="preserve">This 12-item </w:t>
            </w:r>
            <w:hyperlink r:id="rId68" w:history="1">
              <w:r w:rsidRPr="006928A1">
                <w:rPr>
                  <w:rStyle w:val="Hyperlink"/>
                  <w:rFonts w:eastAsia="Times New Roman"/>
                  <w:sz w:val="18"/>
                  <w:szCs w:val="18"/>
                </w:rPr>
                <w:t>acculturation</w:t>
              </w:r>
            </w:hyperlink>
            <w:r w:rsidRPr="006928A1">
              <w:rPr>
                <w:rFonts w:eastAsia="Times New Roman"/>
                <w:sz w:val="18"/>
                <w:szCs w:val="18"/>
              </w:rPr>
              <w:t xml:space="preserve"> scale, available in English and Spanish, evaluates </w:t>
            </w:r>
            <w:hyperlink r:id="rId69" w:history="1">
              <w:r w:rsidRPr="006928A1">
                <w:rPr>
                  <w:rStyle w:val="Hyperlink"/>
                  <w:rFonts w:eastAsia="Times New Roman"/>
                  <w:sz w:val="18"/>
                  <w:szCs w:val="18"/>
                </w:rPr>
                <w:t>language</w:t>
              </w:r>
            </w:hyperlink>
            <w:r w:rsidRPr="006928A1">
              <w:rPr>
                <w:rFonts w:eastAsia="Times New Roman"/>
                <w:sz w:val="18"/>
                <w:szCs w:val="18"/>
              </w:rPr>
              <w:t xml:space="preserve"> use, media preferences, and social activities. It is available online at </w:t>
            </w:r>
            <w:hyperlink r:id="rId70" w:history="1">
              <w:r w:rsidRPr="006928A1">
                <w:rPr>
                  <w:rStyle w:val="Hyperlink"/>
                  <w:rFonts w:eastAsia="Times New Roman"/>
                  <w:sz w:val="18"/>
                  <w:szCs w:val="18"/>
                </w:rPr>
                <w:t>http://casaa​.unm.edu​/inst/MARIN%20Short%20Scale.pdf</w:t>
              </w:r>
            </w:hyperlink>
          </w:p>
        </w:tc>
        <w:tc>
          <w:tcPr>
            <w:tcW w:w="0" w:type="auto"/>
            <w:hideMark/>
          </w:tcPr>
          <w:p w14:paraId="50602E14" w14:textId="77777777" w:rsidR="00687F91" w:rsidRPr="006928A1" w:rsidRDefault="004B3E14">
            <w:pPr>
              <w:rPr>
                <w:rFonts w:eastAsia="Times New Roman"/>
                <w:sz w:val="18"/>
                <w:szCs w:val="18"/>
              </w:rPr>
            </w:pPr>
            <w:hyperlink r:id="rId71" w:history="1">
              <w:r w:rsidR="00687F91" w:rsidRPr="006928A1">
                <w:rPr>
                  <w:rStyle w:val="Hyperlink"/>
                  <w:rFonts w:eastAsia="Times New Roman"/>
                  <w:sz w:val="18"/>
                  <w:szCs w:val="18"/>
                </w:rPr>
                <w:t>Latinos</w:t>
              </w:r>
            </w:hyperlink>
          </w:p>
        </w:tc>
      </w:tr>
      <w:tr w:rsidR="00687F91" w:rsidRPr="006928A1" w14:paraId="1F22938F" w14:textId="77777777" w:rsidTr="006928A1">
        <w:trPr>
          <w:tblCellSpacing w:w="15" w:type="dxa"/>
        </w:trPr>
        <w:tc>
          <w:tcPr>
            <w:tcW w:w="2963" w:type="dxa"/>
            <w:hideMark/>
          </w:tcPr>
          <w:p w14:paraId="3B06DF06" w14:textId="77777777" w:rsidR="00687F91" w:rsidRPr="006928A1" w:rsidRDefault="00687F91">
            <w:pPr>
              <w:rPr>
                <w:rFonts w:eastAsia="Times New Roman"/>
                <w:sz w:val="18"/>
                <w:szCs w:val="18"/>
              </w:rPr>
            </w:pPr>
            <w:r w:rsidRPr="006928A1">
              <w:rPr>
                <w:rFonts w:eastAsia="Times New Roman"/>
                <w:sz w:val="18"/>
                <w:szCs w:val="18"/>
              </w:rPr>
              <w:t xml:space="preserve">Bicultural Involvement Questionnaire (BIQ; </w:t>
            </w:r>
            <w:hyperlink r:id="rId72" w:history="1">
              <w:proofErr w:type="spellStart"/>
              <w:r w:rsidRPr="006928A1">
                <w:rPr>
                  <w:rStyle w:val="Hyperlink"/>
                  <w:rFonts w:eastAsia="Times New Roman"/>
                  <w:sz w:val="18"/>
                  <w:szCs w:val="18"/>
                </w:rPr>
                <w:t>Szapocznik</w:t>
              </w:r>
              <w:proofErr w:type="spellEnd"/>
              <w:r w:rsidRPr="006928A1">
                <w:rPr>
                  <w:rStyle w:val="Hyperlink"/>
                  <w:rFonts w:eastAsia="Times New Roman"/>
                  <w:sz w:val="18"/>
                  <w:szCs w:val="18"/>
                </w:rPr>
                <w:t xml:space="preserve"> et al. 1980</w:t>
              </w:r>
            </w:hyperlink>
            <w:r w:rsidRPr="006928A1">
              <w:rPr>
                <w:rFonts w:eastAsia="Times New Roman"/>
                <w:sz w:val="18"/>
                <w:szCs w:val="18"/>
              </w:rPr>
              <w:t>)</w:t>
            </w:r>
          </w:p>
        </w:tc>
        <w:tc>
          <w:tcPr>
            <w:tcW w:w="0" w:type="auto"/>
            <w:hideMark/>
          </w:tcPr>
          <w:p w14:paraId="11A6AF51" w14:textId="77777777" w:rsidR="00687F91" w:rsidRPr="006928A1" w:rsidRDefault="00687F91">
            <w:pPr>
              <w:rPr>
                <w:rFonts w:eastAsia="Times New Roman"/>
                <w:sz w:val="18"/>
                <w:szCs w:val="18"/>
              </w:rPr>
            </w:pPr>
            <w:r w:rsidRPr="006928A1">
              <w:rPr>
                <w:rFonts w:eastAsia="Times New Roman"/>
                <w:sz w:val="18"/>
                <w:szCs w:val="18"/>
              </w:rPr>
              <w:t xml:space="preserve">The BIQ assesses </w:t>
            </w:r>
            <w:hyperlink r:id="rId73" w:history="1">
              <w:r w:rsidRPr="006928A1">
                <w:rPr>
                  <w:rStyle w:val="Hyperlink"/>
                  <w:rFonts w:eastAsia="Times New Roman"/>
                  <w:sz w:val="18"/>
                  <w:szCs w:val="18"/>
                </w:rPr>
                <w:t>language</w:t>
              </w:r>
            </w:hyperlink>
            <w:r w:rsidRPr="006928A1">
              <w:rPr>
                <w:rFonts w:eastAsia="Times New Roman"/>
                <w:sz w:val="18"/>
                <w:szCs w:val="18"/>
              </w:rPr>
              <w:t xml:space="preserve"> use and involvement in both Latino and mainstream American activities. It relates two sets of scores to derive a measure of bicultural involvement, with individuals who are highly involved in both cultures scoring highest on the scale.</w:t>
            </w:r>
          </w:p>
        </w:tc>
        <w:tc>
          <w:tcPr>
            <w:tcW w:w="0" w:type="auto"/>
            <w:hideMark/>
          </w:tcPr>
          <w:p w14:paraId="42A06A80" w14:textId="77777777" w:rsidR="00687F91" w:rsidRPr="006928A1" w:rsidRDefault="004B3E14">
            <w:pPr>
              <w:rPr>
                <w:rFonts w:eastAsia="Times New Roman"/>
                <w:sz w:val="18"/>
                <w:szCs w:val="18"/>
              </w:rPr>
            </w:pPr>
            <w:hyperlink r:id="rId74" w:history="1">
              <w:r w:rsidR="00687F91" w:rsidRPr="006928A1">
                <w:rPr>
                  <w:rStyle w:val="Hyperlink"/>
                  <w:rFonts w:eastAsia="Times New Roman"/>
                  <w:sz w:val="18"/>
                  <w:szCs w:val="18"/>
                </w:rPr>
                <w:t>Latinos</w:t>
              </w:r>
            </w:hyperlink>
          </w:p>
        </w:tc>
      </w:tr>
      <w:tr w:rsidR="00687F91" w:rsidRPr="006928A1" w14:paraId="3ED7BB1D" w14:textId="77777777" w:rsidTr="006928A1">
        <w:trPr>
          <w:tblCellSpacing w:w="15" w:type="dxa"/>
        </w:trPr>
        <w:tc>
          <w:tcPr>
            <w:tcW w:w="2963" w:type="dxa"/>
            <w:hideMark/>
          </w:tcPr>
          <w:p w14:paraId="0C838D60" w14:textId="77777777" w:rsidR="00687F91" w:rsidRPr="006928A1" w:rsidRDefault="00687F91">
            <w:pPr>
              <w:rPr>
                <w:rFonts w:eastAsia="Times New Roman"/>
                <w:sz w:val="18"/>
                <w:szCs w:val="18"/>
              </w:rPr>
            </w:pPr>
            <w:r w:rsidRPr="006928A1">
              <w:rPr>
                <w:rFonts w:eastAsia="Times New Roman"/>
                <w:sz w:val="18"/>
                <w:szCs w:val="18"/>
              </w:rPr>
              <w:t xml:space="preserve">The </w:t>
            </w:r>
            <w:proofErr w:type="spellStart"/>
            <w:r w:rsidRPr="006928A1">
              <w:rPr>
                <w:rFonts w:eastAsia="Times New Roman"/>
                <w:sz w:val="18"/>
                <w:szCs w:val="18"/>
              </w:rPr>
              <w:t>Bidimensional</w:t>
            </w:r>
            <w:proofErr w:type="spellEnd"/>
            <w:r w:rsidRPr="006928A1">
              <w:rPr>
                <w:rFonts w:eastAsia="Times New Roman"/>
                <w:sz w:val="18"/>
                <w:szCs w:val="18"/>
              </w:rPr>
              <w:t xml:space="preserve"> </w:t>
            </w:r>
            <w:hyperlink r:id="rId75" w:history="1">
              <w:r w:rsidRPr="006928A1">
                <w:rPr>
                  <w:rStyle w:val="Hyperlink"/>
                  <w:rFonts w:eastAsia="Times New Roman"/>
                  <w:sz w:val="18"/>
                  <w:szCs w:val="18"/>
                </w:rPr>
                <w:t>Acculturation</w:t>
              </w:r>
            </w:hyperlink>
            <w:r w:rsidRPr="006928A1">
              <w:rPr>
                <w:rFonts w:eastAsia="Times New Roman"/>
                <w:sz w:val="18"/>
                <w:szCs w:val="18"/>
              </w:rPr>
              <w:t xml:space="preserve"> Scale for Hispanics (</w:t>
            </w:r>
            <w:hyperlink r:id="rId76" w:history="1">
              <w:r w:rsidRPr="006928A1">
                <w:rPr>
                  <w:rStyle w:val="Hyperlink"/>
                  <w:rFonts w:eastAsia="Times New Roman"/>
                  <w:sz w:val="18"/>
                  <w:szCs w:val="18"/>
                </w:rPr>
                <w:t xml:space="preserve">Marin and </w:t>
              </w:r>
              <w:proofErr w:type="spellStart"/>
              <w:r w:rsidRPr="006928A1">
                <w:rPr>
                  <w:rStyle w:val="Hyperlink"/>
                  <w:rFonts w:eastAsia="Times New Roman"/>
                  <w:sz w:val="18"/>
                  <w:szCs w:val="18"/>
                </w:rPr>
                <w:t>Gamba</w:t>
              </w:r>
              <w:proofErr w:type="spellEnd"/>
              <w:r w:rsidRPr="006928A1">
                <w:rPr>
                  <w:rStyle w:val="Hyperlink"/>
                  <w:rFonts w:eastAsia="Times New Roman"/>
                  <w:sz w:val="18"/>
                  <w:szCs w:val="18"/>
                </w:rPr>
                <w:t xml:space="preserve"> 1996</w:t>
              </w:r>
            </w:hyperlink>
            <w:r w:rsidRPr="006928A1">
              <w:rPr>
                <w:rFonts w:eastAsia="Times New Roman"/>
                <w:sz w:val="18"/>
                <w:szCs w:val="18"/>
              </w:rPr>
              <w:t>)</w:t>
            </w:r>
          </w:p>
        </w:tc>
        <w:tc>
          <w:tcPr>
            <w:tcW w:w="0" w:type="auto"/>
            <w:hideMark/>
          </w:tcPr>
          <w:p w14:paraId="2DD346BC" w14:textId="77777777" w:rsidR="00687F91" w:rsidRPr="006928A1" w:rsidRDefault="00687F91">
            <w:pPr>
              <w:rPr>
                <w:rFonts w:eastAsia="Times New Roman"/>
                <w:sz w:val="18"/>
                <w:szCs w:val="18"/>
              </w:rPr>
            </w:pPr>
            <w:r w:rsidRPr="006928A1">
              <w:rPr>
                <w:rFonts w:eastAsia="Times New Roman"/>
                <w:sz w:val="18"/>
                <w:szCs w:val="18"/>
              </w:rPr>
              <w:t xml:space="preserve">This 24-item scale asks questions about </w:t>
            </w:r>
            <w:hyperlink r:id="rId77" w:history="1">
              <w:r w:rsidRPr="006928A1">
                <w:rPr>
                  <w:rStyle w:val="Hyperlink"/>
                  <w:rFonts w:eastAsia="Times New Roman"/>
                  <w:sz w:val="18"/>
                  <w:szCs w:val="18"/>
                </w:rPr>
                <w:t>language</w:t>
              </w:r>
            </w:hyperlink>
            <w:r w:rsidRPr="006928A1">
              <w:rPr>
                <w:rFonts w:eastAsia="Times New Roman"/>
                <w:sz w:val="18"/>
                <w:szCs w:val="18"/>
              </w:rPr>
              <w:t xml:space="preserve"> use, </w:t>
            </w:r>
            <w:hyperlink r:id="rId78" w:history="1">
              <w:r w:rsidRPr="006928A1">
                <w:rPr>
                  <w:rStyle w:val="Hyperlink"/>
                  <w:rFonts w:eastAsia="Times New Roman"/>
                  <w:sz w:val="18"/>
                  <w:szCs w:val="18"/>
                </w:rPr>
                <w:t>language</w:t>
              </w:r>
            </w:hyperlink>
            <w:r w:rsidRPr="006928A1">
              <w:rPr>
                <w:rFonts w:eastAsia="Times New Roman"/>
                <w:sz w:val="18"/>
                <w:szCs w:val="18"/>
              </w:rPr>
              <w:t xml:space="preserve"> proficiency, and media preferences.</w:t>
            </w:r>
          </w:p>
        </w:tc>
        <w:tc>
          <w:tcPr>
            <w:tcW w:w="0" w:type="auto"/>
            <w:hideMark/>
          </w:tcPr>
          <w:p w14:paraId="1D4D703E" w14:textId="77777777" w:rsidR="00687F91" w:rsidRPr="006928A1" w:rsidRDefault="004B3E14">
            <w:pPr>
              <w:rPr>
                <w:rFonts w:eastAsia="Times New Roman"/>
                <w:sz w:val="18"/>
                <w:szCs w:val="18"/>
              </w:rPr>
            </w:pPr>
            <w:hyperlink r:id="rId79" w:history="1">
              <w:r w:rsidR="00687F91" w:rsidRPr="006928A1">
                <w:rPr>
                  <w:rStyle w:val="Hyperlink"/>
                  <w:rFonts w:eastAsia="Times New Roman"/>
                  <w:sz w:val="18"/>
                  <w:szCs w:val="18"/>
                </w:rPr>
                <w:t>Latinos</w:t>
              </w:r>
            </w:hyperlink>
          </w:p>
        </w:tc>
      </w:tr>
      <w:tr w:rsidR="00687F91" w:rsidRPr="006928A1" w14:paraId="7D5E9645" w14:textId="77777777" w:rsidTr="006928A1">
        <w:trPr>
          <w:tblCellSpacing w:w="15" w:type="dxa"/>
        </w:trPr>
        <w:tc>
          <w:tcPr>
            <w:tcW w:w="2963" w:type="dxa"/>
            <w:hideMark/>
          </w:tcPr>
          <w:p w14:paraId="75321109" w14:textId="77777777" w:rsidR="00687F91" w:rsidRPr="006928A1" w:rsidRDefault="00687F91">
            <w:pPr>
              <w:rPr>
                <w:rFonts w:eastAsia="Times New Roman"/>
                <w:sz w:val="18"/>
                <w:szCs w:val="18"/>
              </w:rPr>
            </w:pPr>
            <w:r w:rsidRPr="006928A1">
              <w:rPr>
                <w:rFonts w:eastAsia="Times New Roman"/>
                <w:sz w:val="18"/>
                <w:szCs w:val="18"/>
              </w:rPr>
              <w:t xml:space="preserve">Brief </w:t>
            </w:r>
            <w:hyperlink r:id="rId80" w:history="1">
              <w:r w:rsidRPr="006928A1">
                <w:rPr>
                  <w:rStyle w:val="Hyperlink"/>
                  <w:rFonts w:eastAsia="Times New Roman"/>
                  <w:sz w:val="18"/>
                  <w:szCs w:val="18"/>
                </w:rPr>
                <w:t>Acculturation</w:t>
              </w:r>
            </w:hyperlink>
            <w:r w:rsidRPr="006928A1">
              <w:rPr>
                <w:rFonts w:eastAsia="Times New Roman"/>
                <w:sz w:val="18"/>
                <w:szCs w:val="18"/>
              </w:rPr>
              <w:t xml:space="preserve"> Scale for Hispanics (</w:t>
            </w:r>
            <w:hyperlink r:id="rId81" w:history="1">
              <w:r w:rsidRPr="006928A1">
                <w:rPr>
                  <w:rStyle w:val="Hyperlink"/>
                  <w:rFonts w:eastAsia="Times New Roman"/>
                  <w:sz w:val="18"/>
                  <w:szCs w:val="18"/>
                </w:rPr>
                <w:t>Norris et al. 1996</w:t>
              </w:r>
            </w:hyperlink>
            <w:r w:rsidRPr="006928A1">
              <w:rPr>
                <w:rFonts w:eastAsia="Times New Roman"/>
                <w:sz w:val="18"/>
                <w:szCs w:val="18"/>
              </w:rPr>
              <w:t>)</w:t>
            </w:r>
          </w:p>
        </w:tc>
        <w:tc>
          <w:tcPr>
            <w:tcW w:w="0" w:type="auto"/>
            <w:hideMark/>
          </w:tcPr>
          <w:p w14:paraId="1CC48DBE" w14:textId="77777777" w:rsidR="00687F91" w:rsidRPr="006928A1" w:rsidRDefault="00687F91">
            <w:pPr>
              <w:rPr>
                <w:rFonts w:eastAsia="Times New Roman"/>
                <w:sz w:val="18"/>
                <w:szCs w:val="18"/>
              </w:rPr>
            </w:pPr>
            <w:r w:rsidRPr="006928A1">
              <w:rPr>
                <w:rFonts w:eastAsia="Times New Roman"/>
                <w:sz w:val="18"/>
                <w:szCs w:val="18"/>
              </w:rPr>
              <w:t xml:space="preserve">This scale has only four items, but scores on the scale have been correlated highly with generation, nativity, length of time in the United States, </w:t>
            </w:r>
            <w:hyperlink r:id="rId82" w:history="1">
              <w:r w:rsidRPr="006928A1">
                <w:rPr>
                  <w:rStyle w:val="Hyperlink"/>
                  <w:rFonts w:eastAsia="Times New Roman"/>
                  <w:sz w:val="18"/>
                  <w:szCs w:val="18"/>
                </w:rPr>
                <w:t>language</w:t>
              </w:r>
            </w:hyperlink>
            <w:r w:rsidRPr="006928A1">
              <w:rPr>
                <w:rFonts w:eastAsia="Times New Roman"/>
                <w:sz w:val="18"/>
                <w:szCs w:val="18"/>
              </w:rPr>
              <w:t xml:space="preserve"> preferences, and subjective perceptions of </w:t>
            </w:r>
            <w:hyperlink r:id="rId83" w:history="1">
              <w:r w:rsidRPr="006928A1">
                <w:rPr>
                  <w:rStyle w:val="Hyperlink"/>
                  <w:rFonts w:eastAsia="Times New Roman"/>
                  <w:sz w:val="18"/>
                  <w:szCs w:val="18"/>
                </w:rPr>
                <w:t>acculturation</w:t>
              </w:r>
            </w:hyperlink>
            <w:r w:rsidRPr="006928A1">
              <w:rPr>
                <w:rFonts w:eastAsia="Times New Roman"/>
                <w:sz w:val="18"/>
                <w:szCs w:val="18"/>
              </w:rPr>
              <w:t>.</w:t>
            </w:r>
          </w:p>
        </w:tc>
        <w:tc>
          <w:tcPr>
            <w:tcW w:w="0" w:type="auto"/>
            <w:hideMark/>
          </w:tcPr>
          <w:p w14:paraId="3B7E7516" w14:textId="77777777" w:rsidR="00687F91" w:rsidRPr="006928A1" w:rsidRDefault="004B3E14">
            <w:pPr>
              <w:rPr>
                <w:rFonts w:eastAsia="Times New Roman"/>
                <w:sz w:val="18"/>
                <w:szCs w:val="18"/>
              </w:rPr>
            </w:pPr>
            <w:hyperlink r:id="rId84" w:history="1">
              <w:r w:rsidR="00687F91" w:rsidRPr="006928A1">
                <w:rPr>
                  <w:rStyle w:val="Hyperlink"/>
                  <w:rFonts w:eastAsia="Times New Roman"/>
                  <w:sz w:val="18"/>
                  <w:szCs w:val="18"/>
                </w:rPr>
                <w:t>Latinos</w:t>
              </w:r>
            </w:hyperlink>
          </w:p>
        </w:tc>
      </w:tr>
      <w:tr w:rsidR="00687F91" w:rsidRPr="006928A1" w14:paraId="0246B2F0" w14:textId="77777777" w:rsidTr="006928A1">
        <w:trPr>
          <w:tblCellSpacing w:w="15" w:type="dxa"/>
        </w:trPr>
        <w:tc>
          <w:tcPr>
            <w:tcW w:w="2963" w:type="dxa"/>
            <w:hideMark/>
          </w:tcPr>
          <w:p w14:paraId="30B7C7A2" w14:textId="77777777" w:rsidR="00687F91" w:rsidRPr="006928A1" w:rsidRDefault="00687F91">
            <w:pPr>
              <w:rPr>
                <w:rFonts w:eastAsia="Times New Roman"/>
                <w:sz w:val="18"/>
                <w:szCs w:val="18"/>
              </w:rPr>
            </w:pPr>
            <w:r w:rsidRPr="006928A1">
              <w:rPr>
                <w:rFonts w:eastAsia="Times New Roman"/>
                <w:sz w:val="18"/>
                <w:szCs w:val="18"/>
              </w:rPr>
              <w:t xml:space="preserve">Multidimensional Measure of Cultural Identity for </w:t>
            </w:r>
            <w:hyperlink r:id="rId85" w:history="1">
              <w:r w:rsidRPr="006928A1">
                <w:rPr>
                  <w:rStyle w:val="Hyperlink"/>
                  <w:rFonts w:eastAsia="Times New Roman"/>
                  <w:sz w:val="18"/>
                  <w:szCs w:val="18"/>
                </w:rPr>
                <w:t>Latinos</w:t>
              </w:r>
            </w:hyperlink>
            <w:r w:rsidRPr="006928A1">
              <w:rPr>
                <w:rFonts w:eastAsia="Times New Roman"/>
                <w:sz w:val="18"/>
                <w:szCs w:val="18"/>
              </w:rPr>
              <w:t xml:space="preserve"> (</w:t>
            </w:r>
            <w:hyperlink r:id="rId86" w:history="1">
              <w:r w:rsidRPr="006928A1">
                <w:rPr>
                  <w:rStyle w:val="Hyperlink"/>
                  <w:rFonts w:eastAsia="Times New Roman"/>
                  <w:sz w:val="18"/>
                  <w:szCs w:val="18"/>
                </w:rPr>
                <w:t>Felix-Ortiz et al. 1994</w:t>
              </w:r>
            </w:hyperlink>
            <w:r w:rsidRPr="006928A1">
              <w:rPr>
                <w:rFonts w:eastAsia="Times New Roman"/>
                <w:sz w:val="18"/>
                <w:szCs w:val="18"/>
              </w:rPr>
              <w:t>)</w:t>
            </w:r>
          </w:p>
        </w:tc>
        <w:tc>
          <w:tcPr>
            <w:tcW w:w="0" w:type="auto"/>
            <w:hideMark/>
          </w:tcPr>
          <w:p w14:paraId="1572615A" w14:textId="77777777" w:rsidR="00687F91" w:rsidRPr="006928A1" w:rsidRDefault="00687F91">
            <w:pPr>
              <w:rPr>
                <w:rFonts w:eastAsia="Times New Roman"/>
                <w:sz w:val="18"/>
                <w:szCs w:val="18"/>
              </w:rPr>
            </w:pPr>
            <w:r w:rsidRPr="006928A1">
              <w:rPr>
                <w:rFonts w:eastAsia="Times New Roman"/>
                <w:sz w:val="18"/>
                <w:szCs w:val="18"/>
              </w:rPr>
              <w:t xml:space="preserve">This measure places adolescents in one of four categories based on </w:t>
            </w:r>
            <w:hyperlink r:id="rId87" w:history="1">
              <w:r w:rsidRPr="006928A1">
                <w:rPr>
                  <w:rStyle w:val="Hyperlink"/>
                  <w:rFonts w:eastAsia="Times New Roman"/>
                  <w:sz w:val="18"/>
                  <w:szCs w:val="18"/>
                </w:rPr>
                <w:t>language</w:t>
              </w:r>
            </w:hyperlink>
            <w:r w:rsidRPr="006928A1">
              <w:rPr>
                <w:rFonts w:eastAsia="Times New Roman"/>
                <w:sz w:val="18"/>
                <w:szCs w:val="18"/>
              </w:rPr>
              <w:t>, behavior/familiarity, and values/attitudes: (1) bicultural, (2) Latino-identified, (3) American-identified, and (4) low-level bicultural.</w:t>
            </w:r>
          </w:p>
        </w:tc>
        <w:tc>
          <w:tcPr>
            <w:tcW w:w="0" w:type="auto"/>
            <w:hideMark/>
          </w:tcPr>
          <w:p w14:paraId="600D88D1" w14:textId="77777777" w:rsidR="00687F91" w:rsidRPr="006928A1" w:rsidRDefault="004B3E14">
            <w:pPr>
              <w:rPr>
                <w:rFonts w:eastAsia="Times New Roman"/>
                <w:sz w:val="18"/>
                <w:szCs w:val="18"/>
              </w:rPr>
            </w:pPr>
            <w:hyperlink r:id="rId88" w:history="1">
              <w:r w:rsidR="00687F91" w:rsidRPr="006928A1">
                <w:rPr>
                  <w:rStyle w:val="Hyperlink"/>
                  <w:rFonts w:eastAsia="Times New Roman"/>
                  <w:sz w:val="18"/>
                  <w:szCs w:val="18"/>
                </w:rPr>
                <w:t>Latinos</w:t>
              </w:r>
            </w:hyperlink>
          </w:p>
        </w:tc>
      </w:tr>
      <w:tr w:rsidR="00687F91" w:rsidRPr="006928A1" w14:paraId="64B73F96" w14:textId="77777777" w:rsidTr="006928A1">
        <w:trPr>
          <w:tblCellSpacing w:w="15" w:type="dxa"/>
        </w:trPr>
        <w:tc>
          <w:tcPr>
            <w:tcW w:w="2963" w:type="dxa"/>
            <w:hideMark/>
          </w:tcPr>
          <w:p w14:paraId="6D4B6213" w14:textId="77777777" w:rsidR="00687F91" w:rsidRPr="006928A1" w:rsidRDefault="004B3E14">
            <w:pPr>
              <w:rPr>
                <w:rFonts w:eastAsia="Times New Roman"/>
                <w:sz w:val="18"/>
                <w:szCs w:val="18"/>
              </w:rPr>
            </w:pPr>
            <w:hyperlink r:id="rId89" w:history="1">
              <w:r w:rsidR="00687F91" w:rsidRPr="006928A1">
                <w:rPr>
                  <w:rStyle w:val="Hyperlink"/>
                  <w:rFonts w:eastAsia="Times New Roman"/>
                  <w:sz w:val="18"/>
                  <w:szCs w:val="18"/>
                </w:rPr>
                <w:t>Acculturation</w:t>
              </w:r>
            </w:hyperlink>
            <w:r w:rsidR="00687F91" w:rsidRPr="006928A1">
              <w:rPr>
                <w:rFonts w:eastAsia="Times New Roman"/>
                <w:sz w:val="18"/>
                <w:szCs w:val="18"/>
              </w:rPr>
              <w:t xml:space="preserve"> Rating Scale for Mexican Americans-I (ARSMA-I; </w:t>
            </w:r>
            <w:hyperlink r:id="rId90" w:history="1">
              <w:r w:rsidR="00687F91" w:rsidRPr="006928A1">
                <w:rPr>
                  <w:rStyle w:val="Hyperlink"/>
                  <w:rFonts w:eastAsia="Times New Roman"/>
                  <w:sz w:val="18"/>
                  <w:szCs w:val="18"/>
                </w:rPr>
                <w:t>Cuellar et al. 1980</w:t>
              </w:r>
            </w:hyperlink>
            <w:r w:rsidR="00687F91" w:rsidRPr="006928A1">
              <w:rPr>
                <w:rFonts w:eastAsia="Times New Roman"/>
                <w:sz w:val="18"/>
                <w:szCs w:val="18"/>
              </w:rPr>
              <w:t>)</w:t>
            </w:r>
          </w:p>
        </w:tc>
        <w:tc>
          <w:tcPr>
            <w:tcW w:w="0" w:type="auto"/>
            <w:hideMark/>
          </w:tcPr>
          <w:p w14:paraId="7FFE5847" w14:textId="77777777" w:rsidR="00687F91" w:rsidRPr="006928A1" w:rsidRDefault="00687F91">
            <w:pPr>
              <w:rPr>
                <w:rFonts w:eastAsia="Times New Roman"/>
                <w:sz w:val="18"/>
                <w:szCs w:val="18"/>
              </w:rPr>
            </w:pPr>
            <w:r w:rsidRPr="006928A1">
              <w:rPr>
                <w:rFonts w:eastAsia="Times New Roman"/>
                <w:sz w:val="18"/>
                <w:szCs w:val="18"/>
              </w:rPr>
              <w:t xml:space="preserve">The ARSMA-I differentiates between 5 levels of </w:t>
            </w:r>
            <w:hyperlink r:id="rId91" w:history="1">
              <w:r w:rsidRPr="006928A1">
                <w:rPr>
                  <w:rStyle w:val="Hyperlink"/>
                  <w:rFonts w:eastAsia="Times New Roman"/>
                  <w:sz w:val="18"/>
                  <w:szCs w:val="18"/>
                </w:rPr>
                <w:t>acculturation</w:t>
              </w:r>
            </w:hyperlink>
            <w:r w:rsidRPr="006928A1">
              <w:rPr>
                <w:rFonts w:eastAsia="Times New Roman"/>
                <w:sz w:val="18"/>
                <w:szCs w:val="18"/>
              </w:rPr>
              <w:t>: (1) Very Mexican, (2) Mexican-Oriented Bicultural, (3) True Bicultural, (4) Anglo-Oriented Bicultural, and (5) Very Anglicized. Established validity.</w:t>
            </w:r>
          </w:p>
        </w:tc>
        <w:tc>
          <w:tcPr>
            <w:tcW w:w="0" w:type="auto"/>
            <w:hideMark/>
          </w:tcPr>
          <w:p w14:paraId="5B8DA9C8" w14:textId="77777777" w:rsidR="00687F91" w:rsidRPr="006928A1" w:rsidRDefault="00687F91">
            <w:pPr>
              <w:rPr>
                <w:rFonts w:eastAsia="Times New Roman"/>
                <w:sz w:val="18"/>
                <w:szCs w:val="18"/>
              </w:rPr>
            </w:pPr>
            <w:r w:rsidRPr="006928A1">
              <w:rPr>
                <w:rFonts w:eastAsia="Times New Roman"/>
                <w:sz w:val="18"/>
                <w:szCs w:val="18"/>
              </w:rPr>
              <w:t>Mexican Americans</w:t>
            </w:r>
          </w:p>
        </w:tc>
      </w:tr>
      <w:tr w:rsidR="00687F91" w:rsidRPr="006928A1" w14:paraId="7477923B" w14:textId="77777777" w:rsidTr="006928A1">
        <w:trPr>
          <w:tblCellSpacing w:w="15" w:type="dxa"/>
        </w:trPr>
        <w:tc>
          <w:tcPr>
            <w:tcW w:w="2963" w:type="dxa"/>
            <w:hideMark/>
          </w:tcPr>
          <w:p w14:paraId="650F46D7" w14:textId="77777777" w:rsidR="00687F91" w:rsidRPr="006928A1" w:rsidRDefault="004B3E14">
            <w:pPr>
              <w:rPr>
                <w:rFonts w:eastAsia="Times New Roman"/>
                <w:sz w:val="18"/>
                <w:szCs w:val="18"/>
              </w:rPr>
            </w:pPr>
            <w:hyperlink r:id="rId92" w:history="1">
              <w:r w:rsidR="00687F91" w:rsidRPr="006928A1">
                <w:rPr>
                  <w:rStyle w:val="Hyperlink"/>
                  <w:rFonts w:eastAsia="Times New Roman"/>
                  <w:sz w:val="18"/>
                  <w:szCs w:val="18"/>
                </w:rPr>
                <w:t>Acculturation</w:t>
              </w:r>
            </w:hyperlink>
            <w:r w:rsidR="00687F91" w:rsidRPr="006928A1">
              <w:rPr>
                <w:rFonts w:eastAsia="Times New Roman"/>
                <w:sz w:val="18"/>
                <w:szCs w:val="18"/>
              </w:rPr>
              <w:t xml:space="preserve"> Rating Scale for Mexican Americans-II (</w:t>
            </w:r>
            <w:hyperlink r:id="rId93" w:history="1">
              <w:r w:rsidR="00687F91" w:rsidRPr="006928A1">
                <w:rPr>
                  <w:rStyle w:val="Hyperlink"/>
                  <w:rFonts w:eastAsia="Times New Roman"/>
                  <w:sz w:val="18"/>
                  <w:szCs w:val="18"/>
                </w:rPr>
                <w:t>Cuellar et al. 1995</w:t>
              </w:r>
            </w:hyperlink>
            <w:r w:rsidR="00687F91" w:rsidRPr="006928A1">
              <w:rPr>
                <w:rFonts w:eastAsia="Times New Roman"/>
                <w:sz w:val="18"/>
                <w:szCs w:val="18"/>
              </w:rPr>
              <w:t>)</w:t>
            </w:r>
          </w:p>
        </w:tc>
        <w:tc>
          <w:tcPr>
            <w:tcW w:w="0" w:type="auto"/>
            <w:hideMark/>
          </w:tcPr>
          <w:p w14:paraId="161D8EC8" w14:textId="77777777" w:rsidR="00687F91" w:rsidRPr="006928A1" w:rsidRDefault="00687F91">
            <w:pPr>
              <w:rPr>
                <w:rFonts w:eastAsia="Times New Roman"/>
                <w:sz w:val="18"/>
                <w:szCs w:val="18"/>
              </w:rPr>
            </w:pPr>
            <w:r w:rsidRPr="006928A1">
              <w:rPr>
                <w:rFonts w:eastAsia="Times New Roman"/>
                <w:sz w:val="18"/>
                <w:szCs w:val="18"/>
              </w:rPr>
              <w:t>This scale is like the ARSMA-I, except that it includes separate subscales to measure multidimensional aspects of cultural orientation toward Mexican and Anglo cultures independently.</w:t>
            </w:r>
          </w:p>
        </w:tc>
        <w:tc>
          <w:tcPr>
            <w:tcW w:w="0" w:type="auto"/>
            <w:hideMark/>
          </w:tcPr>
          <w:p w14:paraId="06FB5EFC" w14:textId="77777777" w:rsidR="00687F91" w:rsidRPr="006928A1" w:rsidRDefault="00687F91">
            <w:pPr>
              <w:rPr>
                <w:rFonts w:eastAsia="Times New Roman"/>
                <w:sz w:val="18"/>
                <w:szCs w:val="18"/>
              </w:rPr>
            </w:pPr>
            <w:r w:rsidRPr="006928A1">
              <w:rPr>
                <w:rFonts w:eastAsia="Times New Roman"/>
                <w:sz w:val="18"/>
                <w:szCs w:val="18"/>
              </w:rPr>
              <w:t>Mexican Americans</w:t>
            </w:r>
          </w:p>
        </w:tc>
      </w:tr>
      <w:tr w:rsidR="00687F91" w:rsidRPr="006928A1" w14:paraId="2BFC993E" w14:textId="77777777" w:rsidTr="006928A1">
        <w:trPr>
          <w:tblCellSpacing w:w="15" w:type="dxa"/>
        </w:trPr>
        <w:tc>
          <w:tcPr>
            <w:tcW w:w="2963" w:type="dxa"/>
            <w:hideMark/>
          </w:tcPr>
          <w:p w14:paraId="2A31D37A" w14:textId="77777777" w:rsidR="00687F91" w:rsidRPr="006928A1" w:rsidRDefault="00687F91">
            <w:pPr>
              <w:rPr>
                <w:rFonts w:eastAsia="Times New Roman"/>
                <w:sz w:val="18"/>
                <w:szCs w:val="18"/>
              </w:rPr>
            </w:pPr>
            <w:r w:rsidRPr="006928A1">
              <w:rPr>
                <w:rFonts w:eastAsia="Times New Roman"/>
                <w:sz w:val="18"/>
                <w:szCs w:val="18"/>
              </w:rPr>
              <w:t>Cultural Life Style Inventory (</w:t>
            </w:r>
            <w:hyperlink r:id="rId94" w:history="1">
              <w:r w:rsidRPr="006928A1">
                <w:rPr>
                  <w:rStyle w:val="Hyperlink"/>
                  <w:rFonts w:eastAsia="Times New Roman"/>
                  <w:sz w:val="18"/>
                  <w:szCs w:val="18"/>
                </w:rPr>
                <w:t>Mendoza 1989</w:t>
              </w:r>
            </w:hyperlink>
            <w:r w:rsidRPr="006928A1">
              <w:rPr>
                <w:rFonts w:eastAsia="Times New Roman"/>
                <w:sz w:val="18"/>
                <w:szCs w:val="18"/>
              </w:rPr>
              <w:t>)</w:t>
            </w:r>
          </w:p>
        </w:tc>
        <w:tc>
          <w:tcPr>
            <w:tcW w:w="0" w:type="auto"/>
            <w:hideMark/>
          </w:tcPr>
          <w:p w14:paraId="548AB47A" w14:textId="77777777" w:rsidR="00687F91" w:rsidRPr="006928A1" w:rsidRDefault="00687F91">
            <w:pPr>
              <w:rPr>
                <w:rFonts w:eastAsia="Times New Roman"/>
                <w:sz w:val="18"/>
                <w:szCs w:val="18"/>
              </w:rPr>
            </w:pPr>
            <w:r w:rsidRPr="006928A1">
              <w:rPr>
                <w:rFonts w:eastAsia="Times New Roman"/>
                <w:sz w:val="18"/>
                <w:szCs w:val="18"/>
              </w:rPr>
              <w:t xml:space="preserve">This self-report instrument, available in Spanish and English, evaluates five dimensions of </w:t>
            </w:r>
            <w:hyperlink r:id="rId95" w:history="1">
              <w:r w:rsidRPr="006928A1">
                <w:rPr>
                  <w:rStyle w:val="Hyperlink"/>
                  <w:rFonts w:eastAsia="Times New Roman"/>
                  <w:sz w:val="18"/>
                  <w:szCs w:val="18"/>
                </w:rPr>
                <w:t>acculturation</w:t>
              </w:r>
            </w:hyperlink>
            <w:r w:rsidRPr="006928A1">
              <w:rPr>
                <w:rFonts w:eastAsia="Times New Roman"/>
                <w:sz w:val="18"/>
                <w:szCs w:val="18"/>
              </w:rPr>
              <w:t xml:space="preserve">: intrafamily </w:t>
            </w:r>
            <w:hyperlink r:id="rId96" w:history="1">
              <w:r w:rsidRPr="006928A1">
                <w:rPr>
                  <w:rStyle w:val="Hyperlink"/>
                  <w:rFonts w:eastAsia="Times New Roman"/>
                  <w:sz w:val="18"/>
                  <w:szCs w:val="18"/>
                </w:rPr>
                <w:t>language</w:t>
              </w:r>
            </w:hyperlink>
            <w:r w:rsidRPr="006928A1">
              <w:rPr>
                <w:rFonts w:eastAsia="Times New Roman"/>
                <w:sz w:val="18"/>
                <w:szCs w:val="18"/>
              </w:rPr>
              <w:t xml:space="preserve"> use, </w:t>
            </w:r>
            <w:proofErr w:type="spellStart"/>
            <w:r w:rsidRPr="006928A1">
              <w:rPr>
                <w:rFonts w:eastAsia="Times New Roman"/>
                <w:sz w:val="18"/>
                <w:szCs w:val="18"/>
              </w:rPr>
              <w:t>extrafamily</w:t>
            </w:r>
            <w:proofErr w:type="spellEnd"/>
            <w:r w:rsidRPr="006928A1">
              <w:rPr>
                <w:rFonts w:eastAsia="Times New Roman"/>
                <w:sz w:val="18"/>
                <w:szCs w:val="18"/>
              </w:rPr>
              <w:t xml:space="preserve"> </w:t>
            </w:r>
            <w:hyperlink r:id="rId97" w:history="1">
              <w:r w:rsidRPr="006928A1">
                <w:rPr>
                  <w:rStyle w:val="Hyperlink"/>
                  <w:rFonts w:eastAsia="Times New Roman"/>
                  <w:sz w:val="18"/>
                  <w:szCs w:val="18"/>
                </w:rPr>
                <w:t>language</w:t>
              </w:r>
            </w:hyperlink>
            <w:r w:rsidRPr="006928A1">
              <w:rPr>
                <w:rFonts w:eastAsia="Times New Roman"/>
                <w:sz w:val="18"/>
                <w:szCs w:val="18"/>
              </w:rPr>
              <w:t xml:space="preserve"> use, social activities and affiliations, cultural knowledge and activities, and cultural identification and pride.</w:t>
            </w:r>
          </w:p>
        </w:tc>
        <w:tc>
          <w:tcPr>
            <w:tcW w:w="0" w:type="auto"/>
            <w:hideMark/>
          </w:tcPr>
          <w:p w14:paraId="683A9F42" w14:textId="77777777" w:rsidR="00687F91" w:rsidRPr="006928A1" w:rsidRDefault="00687F91">
            <w:pPr>
              <w:rPr>
                <w:rFonts w:eastAsia="Times New Roman"/>
                <w:sz w:val="18"/>
                <w:szCs w:val="18"/>
              </w:rPr>
            </w:pPr>
            <w:r w:rsidRPr="006928A1">
              <w:rPr>
                <w:rFonts w:eastAsia="Times New Roman"/>
                <w:sz w:val="18"/>
                <w:szCs w:val="18"/>
              </w:rPr>
              <w:t>Mexican Americans</w:t>
            </w:r>
          </w:p>
        </w:tc>
      </w:tr>
      <w:tr w:rsidR="00687F91" w:rsidRPr="006928A1" w14:paraId="2CBFD29F" w14:textId="77777777" w:rsidTr="006928A1">
        <w:trPr>
          <w:tblCellSpacing w:w="15" w:type="dxa"/>
        </w:trPr>
        <w:tc>
          <w:tcPr>
            <w:tcW w:w="2963" w:type="dxa"/>
            <w:hideMark/>
          </w:tcPr>
          <w:p w14:paraId="148FB971" w14:textId="77777777" w:rsidR="00687F91" w:rsidRPr="006928A1" w:rsidRDefault="00687F91">
            <w:pPr>
              <w:rPr>
                <w:rFonts w:eastAsia="Times New Roman"/>
                <w:sz w:val="18"/>
                <w:szCs w:val="18"/>
              </w:rPr>
            </w:pPr>
            <w:r w:rsidRPr="006928A1">
              <w:rPr>
                <w:rFonts w:eastAsia="Times New Roman"/>
                <w:sz w:val="18"/>
                <w:szCs w:val="18"/>
              </w:rPr>
              <w:t>Cultural Life Style Inventory (</w:t>
            </w:r>
            <w:hyperlink r:id="rId98" w:history="1">
              <w:r w:rsidRPr="006928A1">
                <w:rPr>
                  <w:rStyle w:val="Hyperlink"/>
                  <w:rFonts w:eastAsia="Times New Roman"/>
                  <w:sz w:val="18"/>
                  <w:szCs w:val="18"/>
                </w:rPr>
                <w:t>Mendoza 1989</w:t>
              </w:r>
            </w:hyperlink>
            <w:r w:rsidRPr="006928A1">
              <w:rPr>
                <w:rFonts w:eastAsia="Times New Roman"/>
                <w:sz w:val="18"/>
                <w:szCs w:val="18"/>
              </w:rPr>
              <w:t>)</w:t>
            </w:r>
          </w:p>
        </w:tc>
        <w:tc>
          <w:tcPr>
            <w:tcW w:w="0" w:type="auto"/>
            <w:hideMark/>
          </w:tcPr>
          <w:p w14:paraId="68C9D653" w14:textId="77777777" w:rsidR="00687F91" w:rsidRPr="006928A1" w:rsidRDefault="00687F91">
            <w:pPr>
              <w:rPr>
                <w:rFonts w:eastAsia="Times New Roman"/>
                <w:sz w:val="18"/>
                <w:szCs w:val="18"/>
              </w:rPr>
            </w:pPr>
            <w:r w:rsidRPr="006928A1">
              <w:rPr>
                <w:rFonts w:eastAsia="Times New Roman"/>
                <w:sz w:val="18"/>
                <w:szCs w:val="18"/>
              </w:rPr>
              <w:t xml:space="preserve">This self-report instrument, available in Spanish and English, evaluates </w:t>
            </w:r>
            <w:hyperlink r:id="rId99" w:history="1">
              <w:r w:rsidRPr="006928A1">
                <w:rPr>
                  <w:rStyle w:val="Hyperlink"/>
                  <w:rFonts w:eastAsia="Times New Roman"/>
                  <w:sz w:val="18"/>
                  <w:szCs w:val="18"/>
                </w:rPr>
                <w:t>acculturation</w:t>
              </w:r>
            </w:hyperlink>
            <w:r w:rsidRPr="006928A1">
              <w:rPr>
                <w:rFonts w:eastAsia="Times New Roman"/>
                <w:sz w:val="18"/>
                <w:szCs w:val="18"/>
              </w:rPr>
              <w:t xml:space="preserve"> on five dimensions: intrafamily </w:t>
            </w:r>
            <w:hyperlink r:id="rId100" w:history="1">
              <w:r w:rsidRPr="006928A1">
                <w:rPr>
                  <w:rStyle w:val="Hyperlink"/>
                  <w:rFonts w:eastAsia="Times New Roman"/>
                  <w:sz w:val="18"/>
                  <w:szCs w:val="18"/>
                </w:rPr>
                <w:t>language</w:t>
              </w:r>
            </w:hyperlink>
            <w:r w:rsidRPr="006928A1">
              <w:rPr>
                <w:rFonts w:eastAsia="Times New Roman"/>
                <w:sz w:val="18"/>
                <w:szCs w:val="18"/>
              </w:rPr>
              <w:t xml:space="preserve"> use, </w:t>
            </w:r>
            <w:proofErr w:type="spellStart"/>
            <w:r w:rsidRPr="006928A1">
              <w:rPr>
                <w:rFonts w:eastAsia="Times New Roman"/>
                <w:sz w:val="18"/>
                <w:szCs w:val="18"/>
              </w:rPr>
              <w:t>extrafamily</w:t>
            </w:r>
            <w:proofErr w:type="spellEnd"/>
            <w:r w:rsidRPr="006928A1">
              <w:rPr>
                <w:rFonts w:eastAsia="Times New Roman"/>
                <w:sz w:val="18"/>
                <w:szCs w:val="18"/>
              </w:rPr>
              <w:t xml:space="preserve"> </w:t>
            </w:r>
            <w:hyperlink r:id="rId101" w:history="1">
              <w:r w:rsidRPr="006928A1">
                <w:rPr>
                  <w:rStyle w:val="Hyperlink"/>
                  <w:rFonts w:eastAsia="Times New Roman"/>
                  <w:sz w:val="18"/>
                  <w:szCs w:val="18"/>
                </w:rPr>
                <w:t>language</w:t>
              </w:r>
            </w:hyperlink>
            <w:r w:rsidRPr="006928A1">
              <w:rPr>
                <w:rFonts w:eastAsia="Times New Roman"/>
                <w:sz w:val="18"/>
                <w:szCs w:val="18"/>
              </w:rPr>
              <w:t xml:space="preserve"> use, social activities and affiliations, cultural knowledge and activities, and cultural identification and pride.</w:t>
            </w:r>
          </w:p>
        </w:tc>
        <w:tc>
          <w:tcPr>
            <w:tcW w:w="0" w:type="auto"/>
            <w:hideMark/>
          </w:tcPr>
          <w:p w14:paraId="223029C9" w14:textId="77777777" w:rsidR="00687F91" w:rsidRPr="006928A1" w:rsidRDefault="00687F91">
            <w:pPr>
              <w:rPr>
                <w:rFonts w:eastAsia="Times New Roman"/>
                <w:sz w:val="18"/>
                <w:szCs w:val="18"/>
              </w:rPr>
            </w:pPr>
            <w:r w:rsidRPr="006928A1">
              <w:rPr>
                <w:rFonts w:eastAsia="Times New Roman"/>
                <w:sz w:val="18"/>
                <w:szCs w:val="18"/>
              </w:rPr>
              <w:t>Mexican Americans</w:t>
            </w:r>
          </w:p>
        </w:tc>
      </w:tr>
      <w:tr w:rsidR="00687F91" w:rsidRPr="006928A1" w14:paraId="427DC1F5" w14:textId="77777777" w:rsidTr="006928A1">
        <w:trPr>
          <w:tblCellSpacing w:w="15" w:type="dxa"/>
        </w:trPr>
        <w:tc>
          <w:tcPr>
            <w:tcW w:w="2963" w:type="dxa"/>
            <w:hideMark/>
          </w:tcPr>
          <w:p w14:paraId="55FFE5FE" w14:textId="77777777" w:rsidR="00687F91" w:rsidRPr="006928A1" w:rsidRDefault="00687F91">
            <w:pPr>
              <w:rPr>
                <w:rFonts w:eastAsia="Times New Roman"/>
                <w:sz w:val="18"/>
                <w:szCs w:val="18"/>
              </w:rPr>
            </w:pPr>
            <w:r w:rsidRPr="006928A1">
              <w:rPr>
                <w:rFonts w:eastAsia="Times New Roman"/>
                <w:sz w:val="18"/>
                <w:szCs w:val="18"/>
              </w:rPr>
              <w:t xml:space="preserve">Mexican American </w:t>
            </w:r>
            <w:hyperlink r:id="rId102" w:history="1">
              <w:r w:rsidRPr="006928A1">
                <w:rPr>
                  <w:rStyle w:val="Hyperlink"/>
                  <w:rFonts w:eastAsia="Times New Roman"/>
                  <w:sz w:val="18"/>
                  <w:szCs w:val="18"/>
                </w:rPr>
                <w:t>Acculturation</w:t>
              </w:r>
            </w:hyperlink>
            <w:r w:rsidRPr="006928A1">
              <w:rPr>
                <w:rFonts w:eastAsia="Times New Roman"/>
                <w:sz w:val="18"/>
                <w:szCs w:val="18"/>
              </w:rPr>
              <w:t xml:space="preserve"> Scale (</w:t>
            </w:r>
            <w:hyperlink r:id="rId103" w:history="1">
              <w:r w:rsidRPr="006928A1">
                <w:rPr>
                  <w:rStyle w:val="Hyperlink"/>
                  <w:rFonts w:eastAsia="Times New Roman"/>
                  <w:sz w:val="18"/>
                  <w:szCs w:val="18"/>
                </w:rPr>
                <w:t>Montgomery 1992</w:t>
              </w:r>
            </w:hyperlink>
            <w:r w:rsidRPr="006928A1">
              <w:rPr>
                <w:rFonts w:eastAsia="Times New Roman"/>
                <w:sz w:val="18"/>
                <w:szCs w:val="18"/>
              </w:rPr>
              <w:t>)</w:t>
            </w:r>
          </w:p>
        </w:tc>
        <w:tc>
          <w:tcPr>
            <w:tcW w:w="0" w:type="auto"/>
            <w:hideMark/>
          </w:tcPr>
          <w:p w14:paraId="55271F02" w14:textId="77777777" w:rsidR="00687F91" w:rsidRPr="006928A1" w:rsidRDefault="00687F91">
            <w:pPr>
              <w:rPr>
                <w:rFonts w:eastAsia="Times New Roman"/>
                <w:sz w:val="18"/>
                <w:szCs w:val="18"/>
              </w:rPr>
            </w:pPr>
            <w:r w:rsidRPr="006928A1">
              <w:rPr>
                <w:rFonts w:eastAsia="Times New Roman"/>
                <w:sz w:val="18"/>
                <w:szCs w:val="18"/>
              </w:rPr>
              <w:t xml:space="preserve">This 28-item scale evaluates cultural orientation and comfort with ethnic identity. Items ask about </w:t>
            </w:r>
            <w:hyperlink r:id="rId104" w:history="1">
              <w:r w:rsidRPr="006928A1">
                <w:rPr>
                  <w:rStyle w:val="Hyperlink"/>
                  <w:rFonts w:eastAsia="Times New Roman"/>
                  <w:sz w:val="18"/>
                  <w:szCs w:val="18"/>
                </w:rPr>
                <w:t>language</w:t>
              </w:r>
            </w:hyperlink>
            <w:r w:rsidRPr="006928A1">
              <w:rPr>
                <w:rFonts w:eastAsia="Times New Roman"/>
                <w:sz w:val="18"/>
                <w:szCs w:val="18"/>
              </w:rPr>
              <w:t xml:space="preserve"> use, media preferences, cultural activities/traditions, and self-perceived ethnic identity.</w:t>
            </w:r>
          </w:p>
        </w:tc>
        <w:tc>
          <w:tcPr>
            <w:tcW w:w="0" w:type="auto"/>
            <w:hideMark/>
          </w:tcPr>
          <w:p w14:paraId="58DD727B" w14:textId="77777777" w:rsidR="00687F91" w:rsidRPr="006928A1" w:rsidRDefault="00687F91">
            <w:pPr>
              <w:rPr>
                <w:rFonts w:eastAsia="Times New Roman"/>
                <w:sz w:val="18"/>
                <w:szCs w:val="18"/>
              </w:rPr>
            </w:pPr>
            <w:r w:rsidRPr="006928A1">
              <w:rPr>
                <w:rFonts w:eastAsia="Times New Roman"/>
                <w:sz w:val="18"/>
                <w:szCs w:val="18"/>
              </w:rPr>
              <w:t>Mexican Americans</w:t>
            </w:r>
          </w:p>
        </w:tc>
      </w:tr>
      <w:tr w:rsidR="00687F91" w:rsidRPr="006928A1" w14:paraId="74F725FA" w14:textId="77777777" w:rsidTr="006928A1">
        <w:trPr>
          <w:tblCellSpacing w:w="15" w:type="dxa"/>
        </w:trPr>
        <w:tc>
          <w:tcPr>
            <w:tcW w:w="2963" w:type="dxa"/>
            <w:hideMark/>
          </w:tcPr>
          <w:p w14:paraId="6D86B5B5" w14:textId="77777777" w:rsidR="00687F91" w:rsidRPr="006928A1" w:rsidRDefault="00687F91">
            <w:pPr>
              <w:rPr>
                <w:rFonts w:eastAsia="Times New Roman"/>
                <w:sz w:val="18"/>
                <w:szCs w:val="18"/>
              </w:rPr>
            </w:pPr>
            <w:r w:rsidRPr="006928A1">
              <w:rPr>
                <w:rFonts w:eastAsia="Times New Roman"/>
                <w:sz w:val="18"/>
                <w:szCs w:val="18"/>
              </w:rPr>
              <w:t xml:space="preserve">Padilla's </w:t>
            </w:r>
            <w:hyperlink r:id="rId105" w:history="1">
              <w:r w:rsidRPr="006928A1">
                <w:rPr>
                  <w:rStyle w:val="Hyperlink"/>
                  <w:rFonts w:eastAsia="Times New Roman"/>
                  <w:sz w:val="18"/>
                  <w:szCs w:val="18"/>
                </w:rPr>
                <w:t>Acculturation</w:t>
              </w:r>
            </w:hyperlink>
            <w:r w:rsidRPr="006928A1">
              <w:rPr>
                <w:rFonts w:eastAsia="Times New Roman"/>
                <w:sz w:val="18"/>
                <w:szCs w:val="18"/>
              </w:rPr>
              <w:t xml:space="preserve"> Scale (</w:t>
            </w:r>
            <w:hyperlink r:id="rId106" w:history="1">
              <w:r w:rsidRPr="006928A1">
                <w:rPr>
                  <w:rStyle w:val="Hyperlink"/>
                  <w:rFonts w:eastAsia="Times New Roman"/>
                  <w:sz w:val="18"/>
                  <w:szCs w:val="18"/>
                </w:rPr>
                <w:t>Padilla 1980</w:t>
              </w:r>
            </w:hyperlink>
            <w:r w:rsidRPr="006928A1">
              <w:rPr>
                <w:rFonts w:eastAsia="Times New Roman"/>
                <w:sz w:val="18"/>
                <w:szCs w:val="18"/>
              </w:rPr>
              <w:t>)</w:t>
            </w:r>
          </w:p>
        </w:tc>
        <w:tc>
          <w:tcPr>
            <w:tcW w:w="0" w:type="auto"/>
            <w:hideMark/>
          </w:tcPr>
          <w:p w14:paraId="63F5DB8F" w14:textId="77777777" w:rsidR="00687F91" w:rsidRPr="006928A1" w:rsidRDefault="00687F91">
            <w:pPr>
              <w:rPr>
                <w:rFonts w:eastAsia="Times New Roman"/>
                <w:sz w:val="18"/>
                <w:szCs w:val="18"/>
              </w:rPr>
            </w:pPr>
            <w:r w:rsidRPr="006928A1">
              <w:rPr>
                <w:rFonts w:eastAsia="Times New Roman"/>
                <w:sz w:val="18"/>
                <w:szCs w:val="18"/>
              </w:rPr>
              <w:t xml:space="preserve">Padilla's </w:t>
            </w:r>
            <w:hyperlink r:id="rId107" w:history="1">
              <w:r w:rsidRPr="006928A1">
                <w:rPr>
                  <w:rStyle w:val="Hyperlink"/>
                  <w:rFonts w:eastAsia="Times New Roman"/>
                  <w:sz w:val="18"/>
                  <w:szCs w:val="18"/>
                </w:rPr>
                <w:t>Acculturation</w:t>
              </w:r>
            </w:hyperlink>
            <w:r w:rsidRPr="006928A1">
              <w:rPr>
                <w:rFonts w:eastAsia="Times New Roman"/>
                <w:sz w:val="18"/>
                <w:szCs w:val="18"/>
              </w:rPr>
              <w:t xml:space="preserve"> Scale is a 155-item questionnaire that assesses cultural knowledge and ethnic loyalties.</w:t>
            </w:r>
          </w:p>
        </w:tc>
        <w:tc>
          <w:tcPr>
            <w:tcW w:w="0" w:type="auto"/>
            <w:hideMark/>
          </w:tcPr>
          <w:p w14:paraId="69F4F20F" w14:textId="77777777" w:rsidR="00687F91" w:rsidRPr="006928A1" w:rsidRDefault="00687F91">
            <w:pPr>
              <w:rPr>
                <w:rFonts w:eastAsia="Times New Roman"/>
                <w:sz w:val="18"/>
                <w:szCs w:val="18"/>
              </w:rPr>
            </w:pPr>
            <w:r w:rsidRPr="006928A1">
              <w:rPr>
                <w:rFonts w:eastAsia="Times New Roman"/>
                <w:sz w:val="18"/>
                <w:szCs w:val="18"/>
              </w:rPr>
              <w:t>Mexican Americans</w:t>
            </w:r>
          </w:p>
        </w:tc>
      </w:tr>
      <w:tr w:rsidR="00687F91" w:rsidRPr="006928A1" w14:paraId="69BCB1D8" w14:textId="77777777" w:rsidTr="006928A1">
        <w:trPr>
          <w:tblCellSpacing w:w="15" w:type="dxa"/>
        </w:trPr>
        <w:tc>
          <w:tcPr>
            <w:tcW w:w="2963" w:type="dxa"/>
            <w:hideMark/>
          </w:tcPr>
          <w:p w14:paraId="4878E3AD" w14:textId="77777777" w:rsidR="00687F91" w:rsidRPr="006928A1" w:rsidRDefault="00687F91">
            <w:pPr>
              <w:rPr>
                <w:rFonts w:eastAsia="Times New Roman"/>
                <w:sz w:val="18"/>
                <w:szCs w:val="18"/>
              </w:rPr>
            </w:pPr>
            <w:proofErr w:type="spellStart"/>
            <w:r w:rsidRPr="006928A1">
              <w:rPr>
                <w:rFonts w:eastAsia="Times New Roman"/>
                <w:sz w:val="18"/>
                <w:szCs w:val="18"/>
              </w:rPr>
              <w:t>Bidimensional</w:t>
            </w:r>
            <w:proofErr w:type="spellEnd"/>
            <w:r w:rsidRPr="006928A1">
              <w:rPr>
                <w:rFonts w:eastAsia="Times New Roman"/>
                <w:sz w:val="18"/>
                <w:szCs w:val="18"/>
              </w:rPr>
              <w:t xml:space="preserve"> </w:t>
            </w:r>
            <w:hyperlink r:id="rId108" w:history="1">
              <w:r w:rsidRPr="006928A1">
                <w:rPr>
                  <w:rStyle w:val="Hyperlink"/>
                  <w:rFonts w:eastAsia="Times New Roman"/>
                  <w:sz w:val="18"/>
                  <w:szCs w:val="18"/>
                </w:rPr>
                <w:t>Acculturation</w:t>
              </w:r>
            </w:hyperlink>
            <w:r w:rsidRPr="006928A1">
              <w:rPr>
                <w:rFonts w:eastAsia="Times New Roman"/>
                <w:sz w:val="18"/>
                <w:szCs w:val="18"/>
              </w:rPr>
              <w:t xml:space="preserve"> Scale for Hispanics (</w:t>
            </w:r>
            <w:hyperlink r:id="rId109" w:history="1">
              <w:r w:rsidRPr="006928A1">
                <w:rPr>
                  <w:rStyle w:val="Hyperlink"/>
                  <w:rFonts w:eastAsia="Times New Roman"/>
                  <w:sz w:val="18"/>
                  <w:szCs w:val="18"/>
                </w:rPr>
                <w:t xml:space="preserve">Marín and </w:t>
              </w:r>
              <w:proofErr w:type="spellStart"/>
              <w:r w:rsidRPr="006928A1">
                <w:rPr>
                  <w:rStyle w:val="Hyperlink"/>
                  <w:rFonts w:eastAsia="Times New Roman"/>
                  <w:sz w:val="18"/>
                  <w:szCs w:val="18"/>
                </w:rPr>
                <w:t>Gamba</w:t>
              </w:r>
              <w:proofErr w:type="spellEnd"/>
              <w:r w:rsidRPr="006928A1">
                <w:rPr>
                  <w:rStyle w:val="Hyperlink"/>
                  <w:rFonts w:eastAsia="Times New Roman"/>
                  <w:sz w:val="18"/>
                  <w:szCs w:val="18"/>
                </w:rPr>
                <w:t xml:space="preserve"> 1996</w:t>
              </w:r>
            </w:hyperlink>
            <w:r w:rsidRPr="006928A1">
              <w:rPr>
                <w:rFonts w:eastAsia="Times New Roman"/>
                <w:sz w:val="18"/>
                <w:szCs w:val="18"/>
              </w:rPr>
              <w:t>)</w:t>
            </w:r>
          </w:p>
        </w:tc>
        <w:tc>
          <w:tcPr>
            <w:tcW w:w="0" w:type="auto"/>
            <w:hideMark/>
          </w:tcPr>
          <w:p w14:paraId="60C3476D" w14:textId="77777777" w:rsidR="00687F91" w:rsidRPr="006928A1" w:rsidRDefault="00687F91">
            <w:pPr>
              <w:rPr>
                <w:rFonts w:eastAsia="Times New Roman"/>
                <w:sz w:val="18"/>
                <w:szCs w:val="18"/>
              </w:rPr>
            </w:pPr>
            <w:r w:rsidRPr="006928A1">
              <w:rPr>
                <w:rFonts w:eastAsia="Times New Roman"/>
                <w:sz w:val="18"/>
                <w:szCs w:val="18"/>
              </w:rPr>
              <w:t xml:space="preserve">This scale measures evaluates two major dimensions of </w:t>
            </w:r>
            <w:hyperlink r:id="rId110" w:history="1">
              <w:r w:rsidRPr="006928A1">
                <w:rPr>
                  <w:rStyle w:val="Hyperlink"/>
                  <w:rFonts w:eastAsia="Times New Roman"/>
                  <w:sz w:val="18"/>
                  <w:szCs w:val="18"/>
                </w:rPr>
                <w:t>acculturation</w:t>
              </w:r>
            </w:hyperlink>
            <w:r w:rsidRPr="006928A1">
              <w:rPr>
                <w:rFonts w:eastAsia="Times New Roman"/>
                <w:sz w:val="18"/>
                <w:szCs w:val="18"/>
              </w:rPr>
              <w:t xml:space="preserve"> (Hispanic and non-Hispanic) using 12 items measuring 3 </w:t>
            </w:r>
            <w:hyperlink r:id="rId111" w:history="1">
              <w:r w:rsidRPr="006928A1">
                <w:rPr>
                  <w:rStyle w:val="Hyperlink"/>
                  <w:rFonts w:eastAsia="Times New Roman"/>
                  <w:sz w:val="18"/>
                  <w:szCs w:val="18"/>
                </w:rPr>
                <w:t>language</w:t>
              </w:r>
            </w:hyperlink>
            <w:r w:rsidRPr="006928A1">
              <w:rPr>
                <w:rFonts w:eastAsia="Times New Roman"/>
                <w:sz w:val="18"/>
                <w:szCs w:val="18"/>
              </w:rPr>
              <w:t>-related areas. It has been found to have high consistency and validity.</w:t>
            </w:r>
          </w:p>
        </w:tc>
        <w:tc>
          <w:tcPr>
            <w:tcW w:w="0" w:type="auto"/>
            <w:hideMark/>
          </w:tcPr>
          <w:p w14:paraId="3E9809CC" w14:textId="77777777" w:rsidR="00687F91" w:rsidRPr="006928A1" w:rsidRDefault="00687F91">
            <w:pPr>
              <w:rPr>
                <w:rFonts w:eastAsia="Times New Roman"/>
                <w:sz w:val="18"/>
                <w:szCs w:val="18"/>
              </w:rPr>
            </w:pPr>
            <w:r w:rsidRPr="006928A1">
              <w:rPr>
                <w:rFonts w:eastAsia="Times New Roman"/>
                <w:sz w:val="18"/>
                <w:szCs w:val="18"/>
              </w:rPr>
              <w:t>Mexican Americans and Central Americans</w:t>
            </w:r>
          </w:p>
        </w:tc>
      </w:tr>
      <w:tr w:rsidR="00687F91" w:rsidRPr="006928A1" w14:paraId="0DFCA284" w14:textId="77777777" w:rsidTr="006928A1">
        <w:trPr>
          <w:tblCellSpacing w:w="15" w:type="dxa"/>
        </w:trPr>
        <w:tc>
          <w:tcPr>
            <w:tcW w:w="2963" w:type="dxa"/>
            <w:hideMark/>
          </w:tcPr>
          <w:p w14:paraId="06FFAA67" w14:textId="77777777" w:rsidR="00687F91" w:rsidRPr="006928A1" w:rsidRDefault="00687F91">
            <w:pPr>
              <w:rPr>
                <w:rFonts w:eastAsia="Times New Roman"/>
                <w:sz w:val="18"/>
                <w:szCs w:val="18"/>
              </w:rPr>
            </w:pPr>
            <w:r w:rsidRPr="006928A1">
              <w:rPr>
                <w:rFonts w:eastAsia="Times New Roman"/>
                <w:sz w:val="18"/>
                <w:szCs w:val="18"/>
              </w:rPr>
              <w:t xml:space="preserve">Stephenson Multigroup </w:t>
            </w:r>
            <w:hyperlink r:id="rId112" w:history="1">
              <w:r w:rsidRPr="006928A1">
                <w:rPr>
                  <w:rStyle w:val="Hyperlink"/>
                  <w:rFonts w:eastAsia="Times New Roman"/>
                  <w:sz w:val="18"/>
                  <w:szCs w:val="18"/>
                </w:rPr>
                <w:t>Acculturation</w:t>
              </w:r>
            </w:hyperlink>
            <w:r w:rsidRPr="006928A1">
              <w:rPr>
                <w:rFonts w:eastAsia="Times New Roman"/>
                <w:sz w:val="18"/>
                <w:szCs w:val="18"/>
              </w:rPr>
              <w:t xml:space="preserve"> Scale (</w:t>
            </w:r>
            <w:hyperlink r:id="rId113" w:history="1">
              <w:r w:rsidRPr="006928A1">
                <w:rPr>
                  <w:rStyle w:val="Hyperlink"/>
                  <w:rFonts w:eastAsia="Times New Roman"/>
                  <w:sz w:val="18"/>
                  <w:szCs w:val="18"/>
                </w:rPr>
                <w:t>Stephenson 2000</w:t>
              </w:r>
            </w:hyperlink>
            <w:r w:rsidRPr="006928A1">
              <w:rPr>
                <w:rFonts w:eastAsia="Times New Roman"/>
                <w:sz w:val="18"/>
                <w:szCs w:val="18"/>
              </w:rPr>
              <w:t>)</w:t>
            </w:r>
          </w:p>
        </w:tc>
        <w:tc>
          <w:tcPr>
            <w:tcW w:w="0" w:type="auto"/>
            <w:hideMark/>
          </w:tcPr>
          <w:p w14:paraId="1938D95C" w14:textId="77777777" w:rsidR="00687F91" w:rsidRPr="006928A1" w:rsidRDefault="00687F91">
            <w:pPr>
              <w:rPr>
                <w:rFonts w:eastAsia="Times New Roman"/>
                <w:sz w:val="18"/>
                <w:szCs w:val="18"/>
              </w:rPr>
            </w:pPr>
            <w:r w:rsidRPr="006928A1">
              <w:rPr>
                <w:rFonts w:eastAsia="Times New Roman"/>
                <w:sz w:val="18"/>
                <w:szCs w:val="18"/>
              </w:rPr>
              <w:t xml:space="preserve">This is a 32-item instrument that evaluates immersion in both </w:t>
            </w:r>
            <w:hyperlink r:id="rId114" w:history="1">
              <w:r w:rsidRPr="006928A1">
                <w:rPr>
                  <w:rStyle w:val="Hyperlink"/>
                  <w:rFonts w:eastAsia="Times New Roman"/>
                  <w:sz w:val="18"/>
                  <w:szCs w:val="18"/>
                </w:rPr>
                <w:t>culture</w:t>
              </w:r>
            </w:hyperlink>
            <w:r w:rsidRPr="006928A1">
              <w:rPr>
                <w:rFonts w:eastAsia="Times New Roman"/>
                <w:sz w:val="18"/>
                <w:szCs w:val="18"/>
              </w:rPr>
              <w:t xml:space="preserve"> of origin and the dominant </w:t>
            </w:r>
            <w:hyperlink r:id="rId115" w:history="1">
              <w:r w:rsidRPr="006928A1">
                <w:rPr>
                  <w:rStyle w:val="Hyperlink"/>
                  <w:rFonts w:eastAsia="Times New Roman"/>
                  <w:sz w:val="18"/>
                  <w:szCs w:val="18"/>
                </w:rPr>
                <w:t>culture</w:t>
              </w:r>
            </w:hyperlink>
            <w:r w:rsidRPr="006928A1">
              <w:rPr>
                <w:rFonts w:eastAsia="Times New Roman"/>
                <w:sz w:val="18"/>
                <w:szCs w:val="18"/>
              </w:rPr>
              <w:t xml:space="preserve"> of the society.</w:t>
            </w:r>
          </w:p>
        </w:tc>
        <w:tc>
          <w:tcPr>
            <w:tcW w:w="0" w:type="auto"/>
            <w:hideMark/>
          </w:tcPr>
          <w:p w14:paraId="34F74AC8" w14:textId="77777777" w:rsidR="00687F91" w:rsidRPr="006928A1" w:rsidRDefault="00687F91">
            <w:pPr>
              <w:rPr>
                <w:rFonts w:eastAsia="Times New Roman"/>
                <w:sz w:val="18"/>
                <w:szCs w:val="18"/>
              </w:rPr>
            </w:pPr>
            <w:r w:rsidRPr="006928A1">
              <w:rPr>
                <w:rFonts w:eastAsia="Times New Roman"/>
                <w:sz w:val="18"/>
                <w:szCs w:val="18"/>
              </w:rPr>
              <w:t>Multicultural</w:t>
            </w:r>
          </w:p>
        </w:tc>
      </w:tr>
      <w:tr w:rsidR="00687F91" w:rsidRPr="006928A1" w14:paraId="38D8DAD3" w14:textId="77777777" w:rsidTr="006928A1">
        <w:trPr>
          <w:tblCellSpacing w:w="15" w:type="dxa"/>
        </w:trPr>
        <w:tc>
          <w:tcPr>
            <w:tcW w:w="2963" w:type="dxa"/>
            <w:hideMark/>
          </w:tcPr>
          <w:p w14:paraId="2FF35CD9" w14:textId="77777777" w:rsidR="00687F91" w:rsidRPr="006928A1" w:rsidRDefault="00687F91">
            <w:pPr>
              <w:rPr>
                <w:rFonts w:eastAsia="Times New Roman"/>
                <w:sz w:val="18"/>
                <w:szCs w:val="18"/>
              </w:rPr>
            </w:pPr>
            <w:r w:rsidRPr="006928A1">
              <w:rPr>
                <w:rFonts w:eastAsia="Times New Roman"/>
                <w:sz w:val="18"/>
                <w:szCs w:val="18"/>
              </w:rPr>
              <w:t xml:space="preserve">Vancouver Index of </w:t>
            </w:r>
            <w:hyperlink r:id="rId116" w:history="1">
              <w:r w:rsidRPr="006928A1">
                <w:rPr>
                  <w:rStyle w:val="Hyperlink"/>
                  <w:rFonts w:eastAsia="Times New Roman"/>
                  <w:sz w:val="18"/>
                  <w:szCs w:val="18"/>
                </w:rPr>
                <w:t>Acculturation</w:t>
              </w:r>
            </w:hyperlink>
            <w:r w:rsidRPr="006928A1">
              <w:rPr>
                <w:rFonts w:eastAsia="Times New Roman"/>
                <w:sz w:val="18"/>
                <w:szCs w:val="18"/>
              </w:rPr>
              <w:t xml:space="preserve"> (</w:t>
            </w:r>
            <w:hyperlink r:id="rId117" w:history="1">
              <w:r w:rsidRPr="006928A1">
                <w:rPr>
                  <w:rStyle w:val="Hyperlink"/>
                  <w:rFonts w:eastAsia="Times New Roman"/>
                  <w:sz w:val="18"/>
                  <w:szCs w:val="18"/>
                </w:rPr>
                <w:t>Ryder et al. 2000</w:t>
              </w:r>
            </w:hyperlink>
            <w:r w:rsidRPr="006928A1">
              <w:rPr>
                <w:rFonts w:eastAsia="Times New Roman"/>
                <w:sz w:val="18"/>
                <w:szCs w:val="18"/>
              </w:rPr>
              <w:t>)</w:t>
            </w:r>
          </w:p>
        </w:tc>
        <w:tc>
          <w:tcPr>
            <w:tcW w:w="0" w:type="auto"/>
            <w:hideMark/>
          </w:tcPr>
          <w:p w14:paraId="263DC1D5" w14:textId="77777777" w:rsidR="00687F91" w:rsidRPr="006928A1" w:rsidRDefault="00687F91">
            <w:pPr>
              <w:rPr>
                <w:rFonts w:eastAsia="Times New Roman"/>
                <w:sz w:val="18"/>
                <w:szCs w:val="18"/>
              </w:rPr>
            </w:pPr>
            <w:r w:rsidRPr="006928A1">
              <w:rPr>
                <w:rFonts w:eastAsia="Times New Roman"/>
                <w:sz w:val="18"/>
                <w:szCs w:val="18"/>
              </w:rPr>
              <w:t xml:space="preserve">This instrument includes 20 questions that assess interest/participation in one's “heritage </w:t>
            </w:r>
            <w:hyperlink r:id="rId118" w:history="1">
              <w:r w:rsidRPr="006928A1">
                <w:rPr>
                  <w:rStyle w:val="Hyperlink"/>
                  <w:rFonts w:eastAsia="Times New Roman"/>
                  <w:sz w:val="18"/>
                  <w:szCs w:val="18"/>
                </w:rPr>
                <w:t>culture</w:t>
              </w:r>
            </w:hyperlink>
            <w:r w:rsidRPr="006928A1">
              <w:rPr>
                <w:rFonts w:eastAsia="Times New Roman"/>
                <w:sz w:val="18"/>
                <w:szCs w:val="18"/>
              </w:rPr>
              <w:t xml:space="preserve">” and “typical American </w:t>
            </w:r>
            <w:hyperlink r:id="rId119" w:history="1">
              <w:r w:rsidRPr="006928A1">
                <w:rPr>
                  <w:rStyle w:val="Hyperlink"/>
                  <w:rFonts w:eastAsia="Times New Roman"/>
                  <w:sz w:val="18"/>
                  <w:szCs w:val="18"/>
                </w:rPr>
                <w:t>culture</w:t>
              </w:r>
            </w:hyperlink>
            <w:r w:rsidRPr="006928A1">
              <w:rPr>
                <w:rFonts w:eastAsia="Times New Roman"/>
                <w:sz w:val="18"/>
                <w:szCs w:val="18"/>
              </w:rPr>
              <w:t xml:space="preserve">” (available online at </w:t>
            </w:r>
            <w:hyperlink r:id="rId120" w:history="1">
              <w:r w:rsidRPr="006928A1">
                <w:rPr>
                  <w:rStyle w:val="Hyperlink"/>
                  <w:rFonts w:eastAsia="Times New Roman"/>
                  <w:sz w:val="18"/>
                  <w:szCs w:val="18"/>
                </w:rPr>
                <w:t>http://www2​.psych.ubc​.ca/˜dpaulhus​/Paulhus_measures/VIA.American.doc</w:t>
              </w:r>
            </w:hyperlink>
            <w:r w:rsidRPr="006928A1">
              <w:rPr>
                <w:rFonts w:eastAsia="Times New Roman"/>
                <w:sz w:val="18"/>
                <w:szCs w:val="18"/>
              </w:rPr>
              <w:t>).</w:t>
            </w:r>
          </w:p>
        </w:tc>
        <w:tc>
          <w:tcPr>
            <w:tcW w:w="0" w:type="auto"/>
            <w:hideMark/>
          </w:tcPr>
          <w:p w14:paraId="2A41C96B" w14:textId="77777777" w:rsidR="00687F91" w:rsidRPr="006928A1" w:rsidRDefault="00687F91">
            <w:pPr>
              <w:rPr>
                <w:rFonts w:eastAsia="Times New Roman"/>
                <w:sz w:val="18"/>
                <w:szCs w:val="18"/>
              </w:rPr>
            </w:pPr>
            <w:r w:rsidRPr="006928A1">
              <w:rPr>
                <w:rFonts w:eastAsia="Times New Roman"/>
                <w:sz w:val="18"/>
                <w:szCs w:val="18"/>
              </w:rPr>
              <w:t>Multicultural</w:t>
            </w:r>
          </w:p>
        </w:tc>
      </w:tr>
      <w:tr w:rsidR="00687F91" w:rsidRPr="006928A1" w14:paraId="3C55E0C3" w14:textId="77777777" w:rsidTr="006928A1">
        <w:trPr>
          <w:tblCellSpacing w:w="15" w:type="dxa"/>
        </w:trPr>
        <w:tc>
          <w:tcPr>
            <w:tcW w:w="2963" w:type="dxa"/>
            <w:hideMark/>
          </w:tcPr>
          <w:p w14:paraId="724F9908" w14:textId="77777777" w:rsidR="00687F91" w:rsidRPr="006928A1" w:rsidRDefault="00687F91">
            <w:pPr>
              <w:rPr>
                <w:rFonts w:eastAsia="Times New Roman"/>
                <w:sz w:val="18"/>
                <w:szCs w:val="18"/>
              </w:rPr>
            </w:pPr>
            <w:r w:rsidRPr="006928A1">
              <w:rPr>
                <w:rFonts w:eastAsia="Times New Roman"/>
                <w:sz w:val="18"/>
                <w:szCs w:val="18"/>
              </w:rPr>
              <w:t xml:space="preserve">Bicultural </w:t>
            </w:r>
            <w:hyperlink r:id="rId121" w:history="1">
              <w:r w:rsidRPr="006928A1">
                <w:rPr>
                  <w:rStyle w:val="Hyperlink"/>
                  <w:rFonts w:eastAsia="Times New Roman"/>
                  <w:sz w:val="18"/>
                  <w:szCs w:val="18"/>
                </w:rPr>
                <w:t>Acculturation</w:t>
              </w:r>
            </w:hyperlink>
            <w:r w:rsidRPr="006928A1">
              <w:rPr>
                <w:rFonts w:eastAsia="Times New Roman"/>
                <w:sz w:val="18"/>
                <w:szCs w:val="18"/>
              </w:rPr>
              <w:t xml:space="preserve"> Scale (</w:t>
            </w:r>
            <w:hyperlink r:id="rId122" w:history="1">
              <w:r w:rsidRPr="006928A1">
                <w:rPr>
                  <w:rStyle w:val="Hyperlink"/>
                  <w:rFonts w:eastAsia="Times New Roman"/>
                  <w:sz w:val="18"/>
                  <w:szCs w:val="18"/>
                </w:rPr>
                <w:t xml:space="preserve">Cortés and </w:t>
              </w:r>
              <w:proofErr w:type="spellStart"/>
              <w:r w:rsidRPr="006928A1">
                <w:rPr>
                  <w:rStyle w:val="Hyperlink"/>
                  <w:rFonts w:eastAsia="Times New Roman"/>
                  <w:sz w:val="18"/>
                  <w:szCs w:val="18"/>
                </w:rPr>
                <w:t>Rogler</w:t>
              </w:r>
              <w:proofErr w:type="spellEnd"/>
              <w:r w:rsidRPr="006928A1">
                <w:rPr>
                  <w:rStyle w:val="Hyperlink"/>
                  <w:rFonts w:eastAsia="Times New Roman"/>
                  <w:sz w:val="18"/>
                  <w:szCs w:val="18"/>
                </w:rPr>
                <w:t xml:space="preserve"> 1994</w:t>
              </w:r>
            </w:hyperlink>
            <w:r w:rsidRPr="006928A1">
              <w:rPr>
                <w:rFonts w:eastAsia="Times New Roman"/>
                <w:sz w:val="18"/>
                <w:szCs w:val="18"/>
              </w:rPr>
              <w:t>)</w:t>
            </w:r>
          </w:p>
        </w:tc>
        <w:tc>
          <w:tcPr>
            <w:tcW w:w="0" w:type="auto"/>
            <w:hideMark/>
          </w:tcPr>
          <w:p w14:paraId="72AEB393" w14:textId="77777777" w:rsidR="00687F91" w:rsidRPr="006928A1" w:rsidRDefault="00687F91">
            <w:pPr>
              <w:rPr>
                <w:rFonts w:eastAsia="Times New Roman"/>
                <w:sz w:val="18"/>
                <w:szCs w:val="18"/>
              </w:rPr>
            </w:pPr>
            <w:r w:rsidRPr="006928A1">
              <w:rPr>
                <w:rFonts w:eastAsia="Times New Roman"/>
                <w:sz w:val="18"/>
                <w:szCs w:val="18"/>
              </w:rPr>
              <w:t xml:space="preserve">Developed for use with first- and second-generation Puerto Rican adults, this scale measures involvement in American </w:t>
            </w:r>
            <w:hyperlink r:id="rId123" w:history="1">
              <w:r w:rsidRPr="006928A1">
                <w:rPr>
                  <w:rStyle w:val="Hyperlink"/>
                  <w:rFonts w:eastAsia="Times New Roman"/>
                  <w:sz w:val="18"/>
                  <w:szCs w:val="18"/>
                </w:rPr>
                <w:t>culture</w:t>
              </w:r>
            </w:hyperlink>
            <w:r w:rsidRPr="006928A1">
              <w:rPr>
                <w:rFonts w:eastAsia="Times New Roman"/>
                <w:sz w:val="18"/>
                <w:szCs w:val="18"/>
              </w:rPr>
              <w:t xml:space="preserve"> and Puerto Rican </w:t>
            </w:r>
            <w:hyperlink r:id="rId124" w:history="1">
              <w:r w:rsidRPr="006928A1">
                <w:rPr>
                  <w:rStyle w:val="Hyperlink"/>
                  <w:rFonts w:eastAsia="Times New Roman"/>
                  <w:sz w:val="18"/>
                  <w:szCs w:val="18"/>
                </w:rPr>
                <w:t>culture</w:t>
              </w:r>
            </w:hyperlink>
            <w:r w:rsidRPr="006928A1">
              <w:rPr>
                <w:rFonts w:eastAsia="Times New Roman"/>
                <w:sz w:val="18"/>
                <w:szCs w:val="18"/>
              </w:rPr>
              <w:t>, but it has limited evidence of validity and reliability.</w:t>
            </w:r>
          </w:p>
        </w:tc>
        <w:tc>
          <w:tcPr>
            <w:tcW w:w="0" w:type="auto"/>
            <w:hideMark/>
          </w:tcPr>
          <w:p w14:paraId="332C0F5B" w14:textId="77777777" w:rsidR="00687F91" w:rsidRPr="006928A1" w:rsidRDefault="00687F91">
            <w:pPr>
              <w:rPr>
                <w:rFonts w:eastAsia="Times New Roman"/>
                <w:sz w:val="18"/>
                <w:szCs w:val="18"/>
              </w:rPr>
            </w:pPr>
            <w:r w:rsidRPr="006928A1">
              <w:rPr>
                <w:rFonts w:eastAsia="Times New Roman"/>
                <w:sz w:val="18"/>
                <w:szCs w:val="18"/>
              </w:rPr>
              <w:t>Puerto Rican Americans</w:t>
            </w:r>
          </w:p>
        </w:tc>
      </w:tr>
      <w:tr w:rsidR="00687F91" w:rsidRPr="006928A1" w14:paraId="3AD8C2EF" w14:textId="77777777" w:rsidTr="006928A1">
        <w:trPr>
          <w:tblCellSpacing w:w="15" w:type="dxa"/>
        </w:trPr>
        <w:tc>
          <w:tcPr>
            <w:tcW w:w="2963" w:type="dxa"/>
            <w:hideMark/>
          </w:tcPr>
          <w:p w14:paraId="459C765A" w14:textId="77777777" w:rsidR="00687F91" w:rsidRPr="006928A1" w:rsidRDefault="00687F91">
            <w:pPr>
              <w:rPr>
                <w:rFonts w:eastAsia="Times New Roman"/>
                <w:sz w:val="18"/>
                <w:szCs w:val="18"/>
              </w:rPr>
            </w:pPr>
            <w:r w:rsidRPr="006928A1">
              <w:rPr>
                <w:rFonts w:eastAsia="Times New Roman"/>
                <w:sz w:val="18"/>
                <w:szCs w:val="18"/>
              </w:rPr>
              <w:t xml:space="preserve">Psychological </w:t>
            </w:r>
            <w:hyperlink r:id="rId125" w:history="1">
              <w:r w:rsidRPr="006928A1">
                <w:rPr>
                  <w:rStyle w:val="Hyperlink"/>
                  <w:rFonts w:eastAsia="Times New Roman"/>
                  <w:sz w:val="18"/>
                  <w:szCs w:val="18"/>
                </w:rPr>
                <w:t>Acculturation</w:t>
              </w:r>
            </w:hyperlink>
            <w:r w:rsidRPr="006928A1">
              <w:rPr>
                <w:rFonts w:eastAsia="Times New Roman"/>
                <w:sz w:val="18"/>
                <w:szCs w:val="18"/>
              </w:rPr>
              <w:t xml:space="preserve"> Scale (</w:t>
            </w:r>
            <w:proofErr w:type="spellStart"/>
            <w:r w:rsidRPr="006928A1">
              <w:rPr>
                <w:rFonts w:eastAsia="Times New Roman"/>
                <w:sz w:val="18"/>
                <w:szCs w:val="18"/>
              </w:rPr>
              <w:t>Tropp</w:t>
            </w:r>
            <w:proofErr w:type="spellEnd"/>
            <w:r w:rsidRPr="006928A1">
              <w:rPr>
                <w:rFonts w:eastAsia="Times New Roman"/>
                <w:sz w:val="18"/>
                <w:szCs w:val="18"/>
              </w:rPr>
              <w:t xml:space="preserve"> et al. 1999)</w:t>
            </w:r>
          </w:p>
        </w:tc>
        <w:tc>
          <w:tcPr>
            <w:tcW w:w="0" w:type="auto"/>
            <w:hideMark/>
          </w:tcPr>
          <w:p w14:paraId="1E75288C" w14:textId="77777777" w:rsidR="00687F91" w:rsidRPr="006928A1" w:rsidRDefault="00687F91">
            <w:pPr>
              <w:rPr>
                <w:rFonts w:eastAsia="Times New Roman"/>
                <w:sz w:val="18"/>
                <w:szCs w:val="18"/>
              </w:rPr>
            </w:pPr>
            <w:r w:rsidRPr="006928A1">
              <w:rPr>
                <w:rFonts w:eastAsia="Times New Roman"/>
                <w:sz w:val="18"/>
                <w:szCs w:val="18"/>
              </w:rPr>
              <w:t>The items on this scale pertain to the client's sense of psychological attachment to and belonging within Anglo American and Hispanic/Latino cultures.</w:t>
            </w:r>
          </w:p>
        </w:tc>
        <w:tc>
          <w:tcPr>
            <w:tcW w:w="0" w:type="auto"/>
            <w:hideMark/>
          </w:tcPr>
          <w:p w14:paraId="0FA15223" w14:textId="77777777" w:rsidR="00687F91" w:rsidRPr="006928A1" w:rsidRDefault="00687F91">
            <w:pPr>
              <w:rPr>
                <w:rFonts w:eastAsia="Times New Roman"/>
                <w:sz w:val="18"/>
                <w:szCs w:val="18"/>
              </w:rPr>
            </w:pPr>
            <w:r w:rsidRPr="006928A1">
              <w:rPr>
                <w:rFonts w:eastAsia="Times New Roman"/>
                <w:sz w:val="18"/>
                <w:szCs w:val="18"/>
              </w:rPr>
              <w:t>Puerto Ricans on the U.S. mainland</w:t>
            </w:r>
          </w:p>
        </w:tc>
      </w:tr>
      <w:tr w:rsidR="00687F91" w:rsidRPr="006928A1" w14:paraId="6A2960E9" w14:textId="77777777" w:rsidTr="006928A1">
        <w:trPr>
          <w:tblCellSpacing w:w="15" w:type="dxa"/>
        </w:trPr>
        <w:tc>
          <w:tcPr>
            <w:tcW w:w="2963" w:type="dxa"/>
            <w:hideMark/>
          </w:tcPr>
          <w:p w14:paraId="28BB29D6" w14:textId="77777777" w:rsidR="00687F91" w:rsidRPr="006928A1" w:rsidRDefault="004B3E14">
            <w:pPr>
              <w:rPr>
                <w:rFonts w:eastAsia="Times New Roman"/>
                <w:sz w:val="18"/>
                <w:szCs w:val="18"/>
              </w:rPr>
            </w:pPr>
            <w:hyperlink r:id="rId126" w:history="1">
              <w:r w:rsidR="00687F91" w:rsidRPr="006928A1">
                <w:rPr>
                  <w:rStyle w:val="Hyperlink"/>
                  <w:rFonts w:eastAsia="Times New Roman"/>
                  <w:sz w:val="18"/>
                  <w:szCs w:val="18"/>
                </w:rPr>
                <w:t>Acculturation</w:t>
              </w:r>
            </w:hyperlink>
            <w:r w:rsidR="00687F91" w:rsidRPr="006928A1">
              <w:rPr>
                <w:rFonts w:eastAsia="Times New Roman"/>
                <w:sz w:val="18"/>
                <w:szCs w:val="18"/>
              </w:rPr>
              <w:t xml:space="preserve"> Scale for Southeast </w:t>
            </w:r>
            <w:hyperlink r:id="rId127" w:history="1">
              <w:r w:rsidR="00687F91" w:rsidRPr="006928A1">
                <w:rPr>
                  <w:rStyle w:val="Hyperlink"/>
                  <w:rFonts w:eastAsia="Times New Roman"/>
                  <w:sz w:val="18"/>
                  <w:szCs w:val="18"/>
                </w:rPr>
                <w:t>Asians</w:t>
              </w:r>
            </w:hyperlink>
            <w:r w:rsidR="00687F91" w:rsidRPr="006928A1">
              <w:rPr>
                <w:rFonts w:eastAsia="Times New Roman"/>
                <w:sz w:val="18"/>
                <w:szCs w:val="18"/>
              </w:rPr>
              <w:t xml:space="preserve"> (</w:t>
            </w:r>
            <w:hyperlink r:id="rId128" w:history="1">
              <w:r w:rsidR="00687F91" w:rsidRPr="006928A1">
                <w:rPr>
                  <w:rStyle w:val="Hyperlink"/>
                  <w:rFonts w:eastAsia="Times New Roman"/>
                  <w:sz w:val="18"/>
                  <w:szCs w:val="18"/>
                </w:rPr>
                <w:t>Anderson et al. 1993</w:t>
              </w:r>
            </w:hyperlink>
            <w:r w:rsidR="00687F91" w:rsidRPr="006928A1">
              <w:rPr>
                <w:rFonts w:eastAsia="Times New Roman"/>
                <w:sz w:val="18"/>
                <w:szCs w:val="18"/>
              </w:rPr>
              <w:t>)</w:t>
            </w:r>
          </w:p>
        </w:tc>
        <w:tc>
          <w:tcPr>
            <w:tcW w:w="0" w:type="auto"/>
            <w:hideMark/>
          </w:tcPr>
          <w:p w14:paraId="2F40B682" w14:textId="77777777" w:rsidR="00687F91" w:rsidRPr="006928A1" w:rsidRDefault="00687F91">
            <w:pPr>
              <w:rPr>
                <w:rFonts w:eastAsia="Times New Roman"/>
                <w:sz w:val="18"/>
                <w:szCs w:val="18"/>
              </w:rPr>
            </w:pPr>
            <w:r w:rsidRPr="006928A1">
              <w:rPr>
                <w:rFonts w:eastAsia="Times New Roman"/>
                <w:sz w:val="18"/>
                <w:szCs w:val="18"/>
              </w:rPr>
              <w:t xml:space="preserve">This 13-item scale evaluates languages proficiency and preferences regarding social interactions, cultural activities, and food. It includes two subscales for proficiency in languages, as well as </w:t>
            </w:r>
            <w:hyperlink r:id="rId129" w:history="1">
              <w:r w:rsidRPr="006928A1">
                <w:rPr>
                  <w:rStyle w:val="Hyperlink"/>
                  <w:rFonts w:eastAsia="Times New Roman"/>
                  <w:sz w:val="18"/>
                  <w:szCs w:val="18"/>
                </w:rPr>
                <w:t>language</w:t>
              </w:r>
            </w:hyperlink>
            <w:r w:rsidRPr="006928A1">
              <w:rPr>
                <w:rFonts w:eastAsia="Times New Roman"/>
                <w:sz w:val="18"/>
                <w:szCs w:val="18"/>
              </w:rPr>
              <w:t>, social, and food preferences.</w:t>
            </w:r>
          </w:p>
        </w:tc>
        <w:tc>
          <w:tcPr>
            <w:tcW w:w="0" w:type="auto"/>
            <w:hideMark/>
          </w:tcPr>
          <w:p w14:paraId="60A662CE" w14:textId="77777777" w:rsidR="00687F91" w:rsidRPr="006928A1" w:rsidRDefault="00687F91">
            <w:pPr>
              <w:rPr>
                <w:rFonts w:eastAsia="Times New Roman"/>
                <w:sz w:val="18"/>
                <w:szCs w:val="18"/>
              </w:rPr>
            </w:pPr>
            <w:r w:rsidRPr="006928A1">
              <w:rPr>
                <w:rFonts w:eastAsia="Times New Roman"/>
                <w:sz w:val="18"/>
                <w:szCs w:val="18"/>
              </w:rPr>
              <w:t>Cambodian, Laotian, and Vietnamese Americans</w:t>
            </w:r>
          </w:p>
        </w:tc>
      </w:tr>
    </w:tbl>
    <w:p w14:paraId="5C56B0E9" w14:textId="77777777" w:rsidR="00687F91" w:rsidRDefault="00687F91">
      <w:pPr>
        <w:rPr>
          <w:rFonts w:ascii="Calibri" w:hAnsi="Calibri"/>
          <w:lang w:val="en-GB"/>
        </w:rPr>
      </w:pPr>
    </w:p>
    <w:p w14:paraId="54DFA7FA" w14:textId="63759FAF" w:rsidR="002A35EC" w:rsidRPr="002A35EC" w:rsidRDefault="008F0CB2" w:rsidP="006928A1">
      <w:pPr>
        <w:pStyle w:val="Heading1"/>
        <w:shd w:val="clear" w:color="auto" w:fill="FFD966" w:themeFill="accent4" w:themeFillTint="99"/>
      </w:pPr>
      <w:r>
        <w:lastRenderedPageBreak/>
        <w:t xml:space="preserve">Ecological knowledge, values </w:t>
      </w:r>
      <w:r w:rsidR="002A35EC" w:rsidRPr="002A35EC">
        <w:t>and children</w:t>
      </w:r>
    </w:p>
    <w:p w14:paraId="2DE12F2B" w14:textId="77777777" w:rsidR="002A35EC" w:rsidRDefault="002A35EC" w:rsidP="006928A1">
      <w:pPr>
        <w:keepNext/>
        <w:keepLines/>
        <w:rPr>
          <w:rFonts w:ascii="Calibri" w:hAnsi="Calibri"/>
          <w:lang w:val="en-GB"/>
        </w:rPr>
      </w:pPr>
    </w:p>
    <w:p w14:paraId="2219223C" w14:textId="77777777" w:rsidR="004B39CD" w:rsidRPr="004B39CD" w:rsidRDefault="004B39CD" w:rsidP="006928A1">
      <w:pPr>
        <w:keepNext/>
        <w:keepLines/>
        <w:shd w:val="clear" w:color="auto" w:fill="FFF2CC" w:themeFill="accent4" w:themeFillTint="33"/>
        <w:rPr>
          <w:b/>
        </w:rPr>
      </w:pPr>
      <w:r w:rsidRPr="004B39CD">
        <w:rPr>
          <w:b/>
        </w:rPr>
        <w:t xml:space="preserve">McCarter, J. &amp; Gavin, M. C. (2011) Perceptions of the Value of Traditional Ecological Knowledge to Formal School Curricula: Opportunities and Challenges from </w:t>
      </w:r>
      <w:proofErr w:type="spellStart"/>
      <w:r w:rsidRPr="004B39CD">
        <w:rPr>
          <w:b/>
        </w:rPr>
        <w:t>Malekula</w:t>
      </w:r>
      <w:proofErr w:type="spellEnd"/>
      <w:r w:rsidRPr="004B39CD">
        <w:rPr>
          <w:b/>
        </w:rPr>
        <w:t xml:space="preserve"> Island, Vanuatu, </w:t>
      </w:r>
      <w:r w:rsidRPr="004B39CD">
        <w:rPr>
          <w:b/>
          <w:i/>
          <w:iCs/>
        </w:rPr>
        <w:t>Journal of Ethnobiology and Ethnomedicine</w:t>
      </w:r>
      <w:r w:rsidRPr="004B39CD">
        <w:rPr>
          <w:b/>
        </w:rPr>
        <w:t>, 7, p. 38.</w:t>
      </w:r>
    </w:p>
    <w:p w14:paraId="65D9E076" w14:textId="786A62E0" w:rsidR="00A22493" w:rsidRDefault="004B3E14" w:rsidP="006928A1">
      <w:pPr>
        <w:keepNext/>
        <w:keepLines/>
        <w:shd w:val="clear" w:color="auto" w:fill="FFF2CC" w:themeFill="accent4" w:themeFillTint="33"/>
        <w:rPr>
          <w:rFonts w:ascii="Calibri" w:hAnsi="Calibri"/>
          <w:lang w:val="en-GB"/>
        </w:rPr>
      </w:pPr>
      <w:hyperlink r:id="rId130" w:history="1">
        <w:r w:rsidR="004B39CD" w:rsidRPr="00881B2C">
          <w:rPr>
            <w:rStyle w:val="Hyperlink"/>
            <w:rFonts w:ascii="Calibri" w:hAnsi="Calibri"/>
            <w:lang w:val="en-GB"/>
          </w:rPr>
          <w:t>https://ethnobiomed.biomedcentral.com/articles/10.1186/1746-4269-7-38</w:t>
        </w:r>
      </w:hyperlink>
    </w:p>
    <w:p w14:paraId="4D3386B6" w14:textId="77777777" w:rsidR="004B39CD" w:rsidRDefault="004B39CD" w:rsidP="006928A1">
      <w:pPr>
        <w:keepNext/>
        <w:keepLines/>
        <w:rPr>
          <w:rFonts w:ascii="Calibri" w:hAnsi="Calibri"/>
          <w:lang w:val="en-GB"/>
        </w:rPr>
      </w:pPr>
    </w:p>
    <w:p w14:paraId="4CF5218D" w14:textId="77777777" w:rsidR="004B39CD" w:rsidRPr="009B2CAE" w:rsidRDefault="004B39CD" w:rsidP="006928A1">
      <w:pPr>
        <w:keepNext/>
        <w:keepLines/>
        <w:rPr>
          <w:rFonts w:ascii="Calibri" w:hAnsi="Calibri"/>
          <w:b/>
          <w:bCs/>
          <w:sz w:val="22"/>
        </w:rPr>
      </w:pPr>
      <w:r w:rsidRPr="009B2CAE">
        <w:rPr>
          <w:rFonts w:ascii="Calibri" w:hAnsi="Calibri"/>
          <w:b/>
          <w:bCs/>
          <w:sz w:val="22"/>
        </w:rPr>
        <w:t>Results</w:t>
      </w:r>
    </w:p>
    <w:p w14:paraId="7315088C" w14:textId="77777777" w:rsidR="004B39CD" w:rsidRPr="009B2CAE" w:rsidRDefault="004B39CD" w:rsidP="004B39CD">
      <w:pPr>
        <w:rPr>
          <w:rFonts w:ascii="Calibri" w:hAnsi="Calibri"/>
          <w:sz w:val="22"/>
        </w:rPr>
      </w:pPr>
      <w:r w:rsidRPr="009B2CAE">
        <w:rPr>
          <w:rFonts w:ascii="Calibri" w:hAnsi="Calibri"/>
          <w:sz w:val="22"/>
        </w:rPr>
        <w:t xml:space="preserve">Participants reported that TEK had eroded on </w:t>
      </w:r>
      <w:proofErr w:type="spellStart"/>
      <w:r w:rsidRPr="009B2CAE">
        <w:rPr>
          <w:rFonts w:ascii="Calibri" w:hAnsi="Calibri"/>
          <w:sz w:val="22"/>
        </w:rPr>
        <w:t>Malekula</w:t>
      </w:r>
      <w:proofErr w:type="spellEnd"/>
      <w:r w:rsidRPr="009B2CAE">
        <w:rPr>
          <w:rFonts w:ascii="Calibri" w:hAnsi="Calibri"/>
          <w:sz w:val="22"/>
        </w:rPr>
        <w:t xml:space="preserve">, and identified the formal school system as a principal driver. Most interviewees believed that if an appropriate format could be developed, TEK could be included in the formal education system. Such an approach has potential to maintain customary knowledge and practice in the focus communities. Participants identified several specific domains of TEK for inclusion in school curricula, including ethnomedical knowledge, agricultural knowledge and practice, and the reinforcement of respect for traditional authority and values. </w:t>
      </w:r>
      <w:r w:rsidRPr="009B2CAE">
        <w:rPr>
          <w:rFonts w:ascii="Calibri" w:hAnsi="Calibri"/>
          <w:sz w:val="22"/>
          <w:u w:val="single"/>
        </w:rPr>
        <w:t xml:space="preserve">However, interviewees also noted a number of practical and epistemological barriers to teaching TEK in school. These included the cultural diversity of </w:t>
      </w:r>
      <w:proofErr w:type="spellStart"/>
      <w:r w:rsidRPr="009B2CAE">
        <w:rPr>
          <w:rFonts w:ascii="Calibri" w:hAnsi="Calibri"/>
          <w:sz w:val="22"/>
          <w:u w:val="single"/>
        </w:rPr>
        <w:t>Malekula</w:t>
      </w:r>
      <w:proofErr w:type="spellEnd"/>
      <w:r w:rsidRPr="009B2CAE">
        <w:rPr>
          <w:rFonts w:ascii="Calibri" w:hAnsi="Calibri"/>
          <w:sz w:val="22"/>
          <w:u w:val="single"/>
        </w:rPr>
        <w:t>, tensions between public and private forms of knowledge, and multiple values of TEK within the community.</w:t>
      </w:r>
    </w:p>
    <w:p w14:paraId="246017F3" w14:textId="77777777" w:rsidR="004B39CD" w:rsidRDefault="004B39CD">
      <w:pPr>
        <w:rPr>
          <w:rFonts w:ascii="Calibri" w:hAnsi="Calibri"/>
          <w:lang w:val="en-GB"/>
        </w:rPr>
      </w:pPr>
    </w:p>
    <w:p w14:paraId="1F514F4C" w14:textId="77777777" w:rsidR="004B39CD" w:rsidRDefault="004B39CD">
      <w:pPr>
        <w:rPr>
          <w:rFonts w:ascii="Calibri" w:hAnsi="Calibri"/>
          <w:lang w:val="en-GB"/>
        </w:rPr>
      </w:pPr>
    </w:p>
    <w:p w14:paraId="5EC06F52" w14:textId="0B91EAD7" w:rsidR="004B39CD" w:rsidRPr="004558BB" w:rsidRDefault="004B39CD" w:rsidP="004558BB">
      <w:pPr>
        <w:shd w:val="clear" w:color="auto" w:fill="FFF2CC" w:themeFill="accent4" w:themeFillTint="33"/>
        <w:rPr>
          <w:rFonts w:ascii="Calibri" w:hAnsi="Calibri"/>
          <w:b/>
        </w:rPr>
      </w:pPr>
      <w:r w:rsidRPr="004B39CD">
        <w:rPr>
          <w:rFonts w:ascii="Calibri" w:hAnsi="Calibri"/>
          <w:b/>
        </w:rPr>
        <w:t xml:space="preserve">Cruz-Garcia, G. S. &amp; Howard, P. L. (2013) ‘I Used to Be Ashamed’. The Influence of an Educational Program on Tribal and Non-Tribal Children’s Knowledge and Valuation of Wild Food Plants, </w:t>
      </w:r>
      <w:r w:rsidRPr="004B39CD">
        <w:rPr>
          <w:rFonts w:ascii="Calibri" w:hAnsi="Calibri"/>
          <w:b/>
          <w:i/>
          <w:iCs/>
        </w:rPr>
        <w:t>Learning and Individual Differences</w:t>
      </w:r>
      <w:r w:rsidRPr="004B39CD">
        <w:rPr>
          <w:rFonts w:ascii="Calibri" w:hAnsi="Calibri"/>
          <w:b/>
        </w:rPr>
        <w:t>, 27, pp. 234–240.</w:t>
      </w:r>
    </w:p>
    <w:p w14:paraId="2471A30F" w14:textId="77777777" w:rsidR="00CF52FF" w:rsidRDefault="00CF52FF">
      <w:pPr>
        <w:rPr>
          <w:rFonts w:ascii="Calibri" w:hAnsi="Calibri"/>
          <w:lang w:val="en-GB"/>
        </w:rPr>
      </w:pPr>
    </w:p>
    <w:p w14:paraId="528A7748" w14:textId="250ED81B" w:rsidR="008F0CB2" w:rsidRPr="009B2CAE" w:rsidRDefault="008F0CB2">
      <w:pPr>
        <w:rPr>
          <w:rFonts w:ascii="Calibri" w:hAnsi="Calibri"/>
          <w:b/>
          <w:sz w:val="22"/>
          <w:szCs w:val="22"/>
          <w:lang w:val="en-GB"/>
        </w:rPr>
      </w:pPr>
      <w:r w:rsidRPr="009B2CAE">
        <w:rPr>
          <w:rFonts w:ascii="Calibri" w:hAnsi="Calibri"/>
          <w:b/>
          <w:sz w:val="22"/>
          <w:szCs w:val="22"/>
          <w:lang w:val="en-GB"/>
        </w:rPr>
        <w:t>Abstract</w:t>
      </w:r>
    </w:p>
    <w:p w14:paraId="4D237B41" w14:textId="738B3111" w:rsidR="008F0CB2" w:rsidRPr="009B2CAE" w:rsidRDefault="008F0CB2" w:rsidP="008F0CB2">
      <w:pPr>
        <w:rPr>
          <w:rFonts w:ascii="Calibri" w:hAnsi="Calibri"/>
          <w:sz w:val="22"/>
          <w:szCs w:val="22"/>
          <w:u w:val="single"/>
        </w:rPr>
      </w:pPr>
      <w:r w:rsidRPr="009B2CAE">
        <w:rPr>
          <w:rFonts w:ascii="Calibri" w:hAnsi="Calibri"/>
          <w:sz w:val="22"/>
          <w:szCs w:val="22"/>
        </w:rPr>
        <w:t>This study examines the influence of an extra-curricular educational program on children's knowledge and cultural valuation of wild food plants, which are an important component of their diets. This program aims to reinforce children's traditional knowledge and values around biological resources in Wayanad, India's Western Ghats, encouraging tribal and non-tribal children to learn from eac</w:t>
      </w:r>
      <w:r w:rsidR="00C62C20">
        <w:rPr>
          <w:rFonts w:ascii="Calibri" w:hAnsi="Calibri"/>
          <w:sz w:val="22"/>
          <w:szCs w:val="22"/>
        </w:rPr>
        <w:t>h other and from their own com</w:t>
      </w:r>
      <w:r w:rsidRPr="009B2CAE">
        <w:rPr>
          <w:rFonts w:ascii="Calibri" w:hAnsi="Calibri"/>
          <w:sz w:val="22"/>
          <w:szCs w:val="22"/>
        </w:rPr>
        <w:t xml:space="preserve">munities. </w:t>
      </w:r>
      <w:r w:rsidRPr="009B2CAE">
        <w:rPr>
          <w:rFonts w:ascii="Calibri" w:hAnsi="Calibri"/>
          <w:sz w:val="22"/>
          <w:szCs w:val="22"/>
          <w:u w:val="single"/>
        </w:rPr>
        <w:t xml:space="preserve">Results show that the educational program has enhanced children's ability to identify selected wild food plants. Moreover, strong social stigma related to wild food plant gathering also appears to have been effectively countered, and the program seems to have created more self-confidence among the children about (a) the perceptions of others' social attitudes towards their gathering practices, and (b) the importance of these plants as part of their diets and cultures. </w:t>
      </w:r>
    </w:p>
    <w:p w14:paraId="177B86D1" w14:textId="77777777" w:rsidR="004B39CD" w:rsidRPr="009B2CAE" w:rsidRDefault="004B39CD">
      <w:pPr>
        <w:rPr>
          <w:rFonts w:ascii="Calibri" w:hAnsi="Calibri"/>
          <w:sz w:val="22"/>
          <w:szCs w:val="22"/>
          <w:lang w:val="en-GB"/>
        </w:rPr>
      </w:pPr>
    </w:p>
    <w:p w14:paraId="78EFB439" w14:textId="7FF386BC" w:rsidR="004B39CD" w:rsidRPr="009B2CAE" w:rsidRDefault="00B63B25">
      <w:pPr>
        <w:rPr>
          <w:rFonts w:ascii="Calibri" w:hAnsi="Calibri"/>
          <w:b/>
          <w:sz w:val="22"/>
          <w:szCs w:val="22"/>
          <w:lang w:val="en-GB"/>
        </w:rPr>
      </w:pPr>
      <w:r w:rsidRPr="009B2CAE">
        <w:rPr>
          <w:rFonts w:ascii="Calibri" w:hAnsi="Calibri"/>
          <w:b/>
          <w:sz w:val="22"/>
          <w:szCs w:val="22"/>
          <w:lang w:val="en-GB"/>
        </w:rPr>
        <w:t>Methods:</w:t>
      </w:r>
    </w:p>
    <w:p w14:paraId="0307D492" w14:textId="36049D67" w:rsidR="00B63B25" w:rsidRPr="009B2CAE" w:rsidRDefault="00B63B25" w:rsidP="00B63B25">
      <w:pPr>
        <w:rPr>
          <w:rFonts w:ascii="Calibri" w:hAnsi="Calibri"/>
          <w:sz w:val="22"/>
          <w:szCs w:val="22"/>
        </w:rPr>
      </w:pPr>
      <w:r w:rsidRPr="009B2CAE">
        <w:rPr>
          <w:rFonts w:ascii="Calibri" w:hAnsi="Calibri"/>
          <w:sz w:val="22"/>
          <w:szCs w:val="22"/>
        </w:rPr>
        <w:t xml:space="preserve">To assess children's knowledge of wild food plants, a photo identification exercise was conducted with all of the children that participated in the study, using a sample of 41 selected wild food plants drawn from previous botanical research conducted in this area by Narayanan et al. (2004) (Table 2). This previous research had identified vernacular names of these plants for each of the tribes and non-tribal rural groups in Wayanad. This test measured children's ability to provide a ‘correct’ vernacular name for those plants that they could identify when exposed to photos of their edible parts (leaf, tuber and/or fruit). Although children were expected to provide the vernacular name of a species given by their own socio-cultural group, the use of vernacular names used by another socio-cultural group was also accepted as a correct answer. All of those plants that children could not identify or for which incorrect names were given (incorrect for all socio-cultural groups) were considered as incorrect answers. </w:t>
      </w:r>
    </w:p>
    <w:p w14:paraId="50959DA5" w14:textId="77777777" w:rsidR="007D16BF" w:rsidRPr="009B2CAE" w:rsidRDefault="007D16BF" w:rsidP="00B63B25">
      <w:pPr>
        <w:rPr>
          <w:rFonts w:ascii="Calibri" w:hAnsi="Calibri"/>
          <w:sz w:val="22"/>
          <w:szCs w:val="22"/>
        </w:rPr>
      </w:pPr>
    </w:p>
    <w:p w14:paraId="16CDAC4B" w14:textId="683051E0" w:rsidR="007D16BF" w:rsidRPr="009B2CAE" w:rsidRDefault="007D16BF" w:rsidP="009B2CAE">
      <w:pPr>
        <w:keepNext/>
        <w:keepLines/>
        <w:rPr>
          <w:rFonts w:ascii="Calibri" w:hAnsi="Calibri"/>
          <w:b/>
          <w:sz w:val="22"/>
          <w:szCs w:val="22"/>
        </w:rPr>
      </w:pPr>
      <w:r w:rsidRPr="009B2CAE">
        <w:rPr>
          <w:rFonts w:ascii="Calibri" w:hAnsi="Calibri"/>
          <w:b/>
          <w:sz w:val="22"/>
          <w:szCs w:val="22"/>
        </w:rPr>
        <w:lastRenderedPageBreak/>
        <w:t>Cultural st</w:t>
      </w:r>
      <w:r w:rsidR="009B2CAE" w:rsidRPr="009B2CAE">
        <w:rPr>
          <w:rFonts w:ascii="Calibri" w:hAnsi="Calibri"/>
          <w:b/>
          <w:sz w:val="22"/>
          <w:szCs w:val="22"/>
        </w:rPr>
        <w:t>igma related to collecting wild plants:</w:t>
      </w:r>
    </w:p>
    <w:p w14:paraId="153C8FCD" w14:textId="2AFC34A6" w:rsidR="009B2CAE" w:rsidRPr="009B2CAE" w:rsidRDefault="009B2CAE" w:rsidP="009B2CAE">
      <w:pPr>
        <w:keepNext/>
        <w:keepLines/>
        <w:rPr>
          <w:rFonts w:ascii="Calibri" w:hAnsi="Calibri"/>
          <w:sz w:val="22"/>
          <w:szCs w:val="22"/>
        </w:rPr>
      </w:pPr>
      <w:r w:rsidRPr="009B2CAE">
        <w:rPr>
          <w:rFonts w:ascii="Calibri" w:hAnsi="Calibri"/>
          <w:sz w:val="22"/>
          <w:szCs w:val="22"/>
        </w:rPr>
        <w:t xml:space="preserve">“Regarding children's perceptions of other's attitudes toward wild food plant collection, it is notable that 77% of the children who participated in the </w:t>
      </w:r>
      <w:r w:rsidR="00C62C20">
        <w:rPr>
          <w:rFonts w:ascii="Calibri" w:hAnsi="Calibri"/>
          <w:sz w:val="22"/>
          <w:szCs w:val="22"/>
        </w:rPr>
        <w:t>‘Every Child a Scientist’ (</w:t>
      </w:r>
      <w:r w:rsidRPr="009B2CAE">
        <w:rPr>
          <w:rFonts w:ascii="Calibri" w:hAnsi="Calibri"/>
          <w:sz w:val="22"/>
          <w:szCs w:val="22"/>
        </w:rPr>
        <w:t>ECS</w:t>
      </w:r>
      <w:r w:rsidR="00C62C20">
        <w:rPr>
          <w:rFonts w:ascii="Calibri" w:hAnsi="Calibri"/>
          <w:sz w:val="22"/>
          <w:szCs w:val="22"/>
        </w:rPr>
        <w:t>)</w:t>
      </w:r>
      <w:r w:rsidRPr="009B2CAE">
        <w:rPr>
          <w:rFonts w:ascii="Calibri" w:hAnsi="Calibri"/>
          <w:sz w:val="22"/>
          <w:szCs w:val="22"/>
        </w:rPr>
        <w:t xml:space="preserve"> and who gathered wild food plants did not have any problem with others observing them while gathering these plants, whereas more than half (54%) of the children who did not participate in the educational program disliked it. After analyzing the results using the Chi2 non-parametric test, it was shown that this difference is significant at the 0.05 level, meaning that the ECS had a significant influence on children's perceptions of others' attitudes towards wild food plant collection and hence a positive effect on their own attitudes”</w:t>
      </w:r>
    </w:p>
    <w:p w14:paraId="33874A0B" w14:textId="18719998" w:rsidR="009B2CAE" w:rsidRPr="009B2CAE" w:rsidRDefault="009B2CAE" w:rsidP="00B63B25">
      <w:pPr>
        <w:rPr>
          <w:rFonts w:ascii="Calibri" w:hAnsi="Calibri"/>
          <w:b/>
          <w:sz w:val="22"/>
          <w:szCs w:val="22"/>
        </w:rPr>
      </w:pPr>
    </w:p>
    <w:p w14:paraId="240F6924" w14:textId="5FCB58D0" w:rsidR="007D16BF" w:rsidRPr="009B2CAE" w:rsidRDefault="009B2CAE" w:rsidP="007D16BF">
      <w:pPr>
        <w:rPr>
          <w:rFonts w:ascii="Calibri" w:hAnsi="Calibri"/>
          <w:sz w:val="22"/>
          <w:szCs w:val="22"/>
        </w:rPr>
      </w:pPr>
      <w:r w:rsidRPr="009B2CAE">
        <w:rPr>
          <w:rFonts w:ascii="Calibri" w:hAnsi="Calibri"/>
          <w:sz w:val="22"/>
          <w:szCs w:val="22"/>
        </w:rPr>
        <w:t>“</w:t>
      </w:r>
      <w:r w:rsidR="007D16BF" w:rsidRPr="009B2CAE">
        <w:rPr>
          <w:rFonts w:ascii="Calibri" w:hAnsi="Calibri"/>
          <w:sz w:val="22"/>
          <w:szCs w:val="22"/>
        </w:rPr>
        <w:t xml:space="preserve">The children who disliked it if others observed them gathering wild food plants repeatedly said that they felt ‘ashamed’ when they were observed because these plants are considered as, e.g. ‘low caste food’. Moreover, they said that non-tribal people scolded, insulted, or otherwise made fun of them if they were observed collecting such plants. </w:t>
      </w:r>
      <w:r w:rsidR="007D16BF" w:rsidRPr="00C62C20">
        <w:rPr>
          <w:rFonts w:ascii="Calibri" w:hAnsi="Calibri"/>
          <w:sz w:val="22"/>
          <w:szCs w:val="22"/>
          <w:u w:val="single"/>
        </w:rPr>
        <w:t>It was thus clear from the children's explanations that social stigma associated with wild food plan</w:t>
      </w:r>
      <w:r w:rsidR="00C62C20" w:rsidRPr="00C62C20">
        <w:rPr>
          <w:rFonts w:ascii="Calibri" w:hAnsi="Calibri"/>
          <w:sz w:val="22"/>
          <w:szCs w:val="22"/>
          <w:u w:val="single"/>
        </w:rPr>
        <w:t>t collection was the major rea</w:t>
      </w:r>
      <w:r w:rsidR="007D16BF" w:rsidRPr="00C62C20">
        <w:rPr>
          <w:rFonts w:ascii="Calibri" w:hAnsi="Calibri"/>
          <w:sz w:val="22"/>
          <w:szCs w:val="22"/>
          <w:u w:val="single"/>
        </w:rPr>
        <w:t>son that children disliked being observed while gathering and, as mentioned earlier, stigmatization of wil</w:t>
      </w:r>
      <w:r w:rsidRPr="00C62C20">
        <w:rPr>
          <w:rFonts w:ascii="Calibri" w:hAnsi="Calibri"/>
          <w:sz w:val="22"/>
          <w:szCs w:val="22"/>
          <w:u w:val="single"/>
        </w:rPr>
        <w:t>d food plants is related to so</w:t>
      </w:r>
      <w:r w:rsidR="007D16BF" w:rsidRPr="00C62C20">
        <w:rPr>
          <w:rFonts w:ascii="Calibri" w:hAnsi="Calibri"/>
          <w:sz w:val="22"/>
          <w:szCs w:val="22"/>
          <w:u w:val="single"/>
        </w:rPr>
        <w:t>cial identities and others' at</w:t>
      </w:r>
      <w:r w:rsidRPr="00C62C20">
        <w:rPr>
          <w:rFonts w:ascii="Calibri" w:hAnsi="Calibri"/>
          <w:sz w:val="22"/>
          <w:szCs w:val="22"/>
          <w:u w:val="single"/>
        </w:rPr>
        <w:t>titudes towards such identities</w:t>
      </w:r>
      <w:r w:rsidRPr="009B2CAE">
        <w:rPr>
          <w:rFonts w:ascii="Calibri" w:hAnsi="Calibri"/>
          <w:sz w:val="22"/>
          <w:szCs w:val="22"/>
        </w:rPr>
        <w:t>”</w:t>
      </w:r>
    </w:p>
    <w:p w14:paraId="6B577B8E" w14:textId="77777777" w:rsidR="007D16BF" w:rsidRDefault="007D16BF" w:rsidP="00B63B25">
      <w:pPr>
        <w:rPr>
          <w:rFonts w:ascii="Calibri" w:hAnsi="Calibri"/>
        </w:rPr>
      </w:pPr>
    </w:p>
    <w:p w14:paraId="4A9F24AD" w14:textId="77777777" w:rsidR="00DF5BB5" w:rsidRPr="00DF5BB5" w:rsidRDefault="00DF5BB5" w:rsidP="00DF5BB5">
      <w:pPr>
        <w:shd w:val="clear" w:color="auto" w:fill="FFF2CC" w:themeFill="accent4" w:themeFillTint="33"/>
        <w:rPr>
          <w:rFonts w:ascii="Calibri" w:hAnsi="Calibri"/>
          <w:b/>
        </w:rPr>
      </w:pPr>
      <w:r w:rsidRPr="00DF5BB5">
        <w:rPr>
          <w:rFonts w:ascii="Calibri" w:hAnsi="Calibri"/>
          <w:b/>
        </w:rPr>
        <w:t xml:space="preserve">Schneller, A. J., Johnson, B. &amp; Bogner, F. X. (2015) Measuring Children’s Environmental Attitudes and Values in Northwest Mexico: Validating a Modified Version of Measures to Test the Model of Ecological Values (2-MEV), </w:t>
      </w:r>
      <w:r w:rsidRPr="00DF5BB5">
        <w:rPr>
          <w:rFonts w:ascii="Calibri" w:hAnsi="Calibri"/>
          <w:b/>
          <w:i/>
          <w:iCs/>
        </w:rPr>
        <w:t>Environmental Education Research</w:t>
      </w:r>
      <w:r w:rsidRPr="00DF5BB5">
        <w:rPr>
          <w:rFonts w:ascii="Calibri" w:hAnsi="Calibri"/>
          <w:b/>
        </w:rPr>
        <w:t>, 21(1), pp. 61–75.</w:t>
      </w:r>
    </w:p>
    <w:p w14:paraId="5D5BB3E1" w14:textId="77777777" w:rsidR="00B551DD" w:rsidRDefault="00B551DD" w:rsidP="00B63B25">
      <w:pPr>
        <w:rPr>
          <w:rFonts w:ascii="Calibri" w:hAnsi="Calibri"/>
        </w:rPr>
      </w:pPr>
    </w:p>
    <w:p w14:paraId="4A2BEFC5" w14:textId="5A145DBA" w:rsidR="00C71DC5" w:rsidRPr="00595284" w:rsidRDefault="00433A46" w:rsidP="00B63B25">
      <w:pPr>
        <w:rPr>
          <w:rFonts w:ascii="Calibri" w:hAnsi="Calibri"/>
          <w:sz w:val="22"/>
        </w:rPr>
      </w:pPr>
      <w:r w:rsidRPr="00595284">
        <w:rPr>
          <w:rFonts w:ascii="Calibri" w:hAnsi="Calibri"/>
          <w:sz w:val="22"/>
        </w:rPr>
        <w:t>“</w:t>
      </w:r>
      <w:r w:rsidR="00595284" w:rsidRPr="00277011">
        <w:rPr>
          <w:rFonts w:ascii="Calibri" w:hAnsi="Calibri"/>
          <w:sz w:val="22"/>
          <w:u w:val="single"/>
        </w:rPr>
        <w:t>U</w:t>
      </w:r>
      <w:r w:rsidRPr="00277011">
        <w:rPr>
          <w:rFonts w:ascii="Calibri" w:hAnsi="Calibri"/>
          <w:sz w:val="22"/>
          <w:u w:val="single"/>
        </w:rPr>
        <w:t>ntil the mid-1990s, an age-appropriate empirical instrument to measure children’s environmental values (following all existing psychometric standards) did not exist.”</w:t>
      </w:r>
    </w:p>
    <w:p w14:paraId="129A4704" w14:textId="77777777" w:rsidR="00C71DC5" w:rsidRPr="00595284" w:rsidRDefault="00C71DC5" w:rsidP="00B63B25">
      <w:pPr>
        <w:rPr>
          <w:rFonts w:ascii="Calibri" w:hAnsi="Calibri"/>
          <w:sz w:val="22"/>
        </w:rPr>
      </w:pPr>
    </w:p>
    <w:p w14:paraId="1AB67B8E" w14:textId="77777777" w:rsidR="00595284" w:rsidRPr="002D3B1E" w:rsidRDefault="00595284" w:rsidP="00595284">
      <w:pPr>
        <w:rPr>
          <w:rFonts w:ascii="Calibri" w:hAnsi="Calibri"/>
          <w:b/>
          <w:sz w:val="22"/>
          <w:szCs w:val="22"/>
        </w:rPr>
      </w:pPr>
      <w:r w:rsidRPr="002D3B1E">
        <w:rPr>
          <w:rFonts w:ascii="Calibri" w:hAnsi="Calibri"/>
          <w:b/>
          <w:sz w:val="22"/>
          <w:szCs w:val="22"/>
        </w:rPr>
        <w:t xml:space="preserve">Methods </w:t>
      </w:r>
    </w:p>
    <w:p w14:paraId="65AEABEF" w14:textId="77777777" w:rsidR="00595284" w:rsidRPr="002D3B1E" w:rsidRDefault="00595284" w:rsidP="00595284">
      <w:pPr>
        <w:rPr>
          <w:rFonts w:ascii="Calibri" w:hAnsi="Calibri"/>
          <w:sz w:val="22"/>
          <w:szCs w:val="22"/>
        </w:rPr>
      </w:pPr>
      <w:r w:rsidRPr="002D3B1E">
        <w:rPr>
          <w:rFonts w:ascii="Calibri" w:hAnsi="Calibri"/>
          <w:sz w:val="22"/>
          <w:szCs w:val="22"/>
        </w:rPr>
        <w:t xml:space="preserve">When designing the 2-MEV for use in Mexico, we built upon the work of Johnson and </w:t>
      </w:r>
      <w:proofErr w:type="spellStart"/>
      <w:r w:rsidRPr="002D3B1E">
        <w:rPr>
          <w:rFonts w:ascii="Calibri" w:hAnsi="Calibri"/>
          <w:sz w:val="22"/>
          <w:szCs w:val="22"/>
        </w:rPr>
        <w:t>Manoli</w:t>
      </w:r>
      <w:proofErr w:type="spellEnd"/>
      <w:r w:rsidRPr="002D3B1E">
        <w:rPr>
          <w:rFonts w:ascii="Calibri" w:hAnsi="Calibri"/>
          <w:sz w:val="22"/>
          <w:szCs w:val="22"/>
        </w:rPr>
        <w:t xml:space="preserve"> (2008), whose research was based on the Model mentioned above (Wiseman and Bogner 2003; Bogner and Wiseman 2006). As such, we based our modified 2-MEV on Johnson and </w:t>
      </w:r>
      <w:proofErr w:type="spellStart"/>
      <w:r w:rsidRPr="002D3B1E">
        <w:rPr>
          <w:rFonts w:ascii="Calibri" w:hAnsi="Calibri"/>
          <w:sz w:val="22"/>
          <w:szCs w:val="22"/>
        </w:rPr>
        <w:t>Manoli’s</w:t>
      </w:r>
      <w:proofErr w:type="spellEnd"/>
      <w:r w:rsidRPr="002D3B1E">
        <w:rPr>
          <w:rFonts w:ascii="Calibri" w:hAnsi="Calibri"/>
          <w:sz w:val="22"/>
          <w:szCs w:val="22"/>
        </w:rPr>
        <w:t xml:space="preserve"> 16 item version of the 2-MEV scale. The 2-MEV is comprised of statements with Likert-type responses. In scoring, items are grouped via factor analysis into primary factors under each of the secondary (higher order) factors </w:t>
      </w:r>
    </w:p>
    <w:p w14:paraId="65097E6D" w14:textId="77777777" w:rsidR="00595284" w:rsidRDefault="00595284" w:rsidP="00B63B25">
      <w:pPr>
        <w:rPr>
          <w:rFonts w:ascii="Calibri" w:hAnsi="Calibri"/>
          <w:sz w:val="22"/>
          <w:szCs w:val="22"/>
        </w:rPr>
      </w:pPr>
    </w:p>
    <w:p w14:paraId="51B507B6" w14:textId="74392456" w:rsidR="00B551DD" w:rsidRPr="00B551DD" w:rsidRDefault="00B551DD" w:rsidP="00B551DD">
      <w:pPr>
        <w:rPr>
          <w:rFonts w:ascii="Calibri" w:hAnsi="Calibri"/>
          <w:sz w:val="22"/>
          <w:szCs w:val="22"/>
        </w:rPr>
      </w:pPr>
      <w:r w:rsidRPr="00B551DD">
        <w:rPr>
          <w:rFonts w:ascii="Calibri" w:hAnsi="Calibri"/>
          <w:sz w:val="22"/>
          <w:szCs w:val="22"/>
        </w:rPr>
        <w:t xml:space="preserve">Each item has a 5-point Likert-type response set ranging from 1 ‘strongly disagree’ to 5 (strongly agree), with a midpoint of 3 (not sure). </w:t>
      </w:r>
    </w:p>
    <w:p w14:paraId="69AD3290" w14:textId="34799B26" w:rsidR="00B551DD" w:rsidRPr="002D3B1E" w:rsidRDefault="00B551DD" w:rsidP="00B63B25">
      <w:pPr>
        <w:rPr>
          <w:rFonts w:ascii="Calibri" w:hAnsi="Calibri"/>
          <w:sz w:val="22"/>
          <w:szCs w:val="22"/>
        </w:rPr>
      </w:pPr>
    </w:p>
    <w:p w14:paraId="7DB16A51" w14:textId="77777777" w:rsidR="008841CF" w:rsidRPr="002D3B1E" w:rsidRDefault="008841CF" w:rsidP="008841CF">
      <w:pPr>
        <w:rPr>
          <w:rFonts w:ascii="Calibri" w:hAnsi="Calibri"/>
          <w:b/>
          <w:sz w:val="22"/>
          <w:szCs w:val="22"/>
        </w:rPr>
      </w:pPr>
      <w:r w:rsidRPr="002D3B1E">
        <w:rPr>
          <w:rFonts w:ascii="Calibri" w:hAnsi="Calibri"/>
          <w:b/>
          <w:sz w:val="22"/>
          <w:szCs w:val="22"/>
        </w:rPr>
        <w:t xml:space="preserve">Appendix 1. Model of Ecological Values scale – Mexico version </w:t>
      </w:r>
    </w:p>
    <w:p w14:paraId="4FA3C6D5" w14:textId="77777777"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Me </w:t>
      </w:r>
      <w:proofErr w:type="spellStart"/>
      <w:r w:rsidRPr="002D3B1E">
        <w:rPr>
          <w:rFonts w:ascii="Calibri" w:hAnsi="Calibri"/>
          <w:sz w:val="22"/>
          <w:szCs w:val="22"/>
        </w:rPr>
        <w:t>aseguro</w:t>
      </w:r>
      <w:proofErr w:type="spellEnd"/>
      <w:r w:rsidRPr="002D3B1E">
        <w:rPr>
          <w:rFonts w:ascii="Calibri" w:hAnsi="Calibri"/>
          <w:sz w:val="22"/>
          <w:szCs w:val="22"/>
        </w:rPr>
        <w:t xml:space="preserve"> que </w:t>
      </w:r>
      <w:proofErr w:type="spellStart"/>
      <w:r w:rsidRPr="002D3B1E">
        <w:rPr>
          <w:rFonts w:ascii="Calibri" w:hAnsi="Calibri"/>
          <w:sz w:val="22"/>
          <w:szCs w:val="22"/>
        </w:rPr>
        <w:t>todas</w:t>
      </w:r>
      <w:proofErr w:type="spellEnd"/>
      <w:r w:rsidRPr="002D3B1E">
        <w:rPr>
          <w:rFonts w:ascii="Calibri" w:hAnsi="Calibri"/>
          <w:sz w:val="22"/>
          <w:szCs w:val="22"/>
        </w:rPr>
        <w:t xml:space="preserve"> las </w:t>
      </w:r>
      <w:proofErr w:type="spellStart"/>
      <w:r w:rsidRPr="002D3B1E">
        <w:rPr>
          <w:rFonts w:ascii="Calibri" w:hAnsi="Calibri"/>
          <w:sz w:val="22"/>
          <w:szCs w:val="22"/>
        </w:rPr>
        <w:t>luces</w:t>
      </w:r>
      <w:proofErr w:type="spellEnd"/>
      <w:r w:rsidRPr="002D3B1E">
        <w:rPr>
          <w:rFonts w:ascii="Calibri" w:hAnsi="Calibri"/>
          <w:sz w:val="22"/>
          <w:szCs w:val="22"/>
        </w:rPr>
        <w:t xml:space="preserve"> </w:t>
      </w:r>
      <w:proofErr w:type="spellStart"/>
      <w:r w:rsidRPr="002D3B1E">
        <w:rPr>
          <w:rFonts w:ascii="Calibri" w:hAnsi="Calibri"/>
          <w:sz w:val="22"/>
          <w:szCs w:val="22"/>
        </w:rPr>
        <w:t>estén</w:t>
      </w:r>
      <w:proofErr w:type="spellEnd"/>
      <w:r w:rsidRPr="002D3B1E">
        <w:rPr>
          <w:rFonts w:ascii="Calibri" w:hAnsi="Calibri"/>
          <w:sz w:val="22"/>
          <w:szCs w:val="22"/>
        </w:rPr>
        <w:t xml:space="preserve"> </w:t>
      </w:r>
      <w:proofErr w:type="spellStart"/>
      <w:r w:rsidRPr="002D3B1E">
        <w:rPr>
          <w:rFonts w:ascii="Calibri" w:hAnsi="Calibri"/>
          <w:sz w:val="22"/>
          <w:szCs w:val="22"/>
        </w:rPr>
        <w:t>apagadas</w:t>
      </w:r>
      <w:proofErr w:type="spellEnd"/>
      <w:r w:rsidRPr="002D3B1E">
        <w:rPr>
          <w:rFonts w:ascii="Calibri" w:hAnsi="Calibri"/>
          <w:sz w:val="22"/>
          <w:szCs w:val="22"/>
        </w:rPr>
        <w:t xml:space="preserve"> </w:t>
      </w:r>
      <w:proofErr w:type="spellStart"/>
      <w:r w:rsidRPr="002D3B1E">
        <w:rPr>
          <w:rFonts w:ascii="Calibri" w:hAnsi="Calibri"/>
          <w:sz w:val="22"/>
          <w:szCs w:val="22"/>
        </w:rPr>
        <w:t>cuando</w:t>
      </w:r>
      <w:proofErr w:type="spellEnd"/>
      <w:r w:rsidRPr="002D3B1E">
        <w:rPr>
          <w:rFonts w:ascii="Calibri" w:hAnsi="Calibri"/>
          <w:sz w:val="22"/>
          <w:szCs w:val="22"/>
        </w:rPr>
        <w:t xml:space="preserve"> </w:t>
      </w:r>
      <w:proofErr w:type="spellStart"/>
      <w:r w:rsidRPr="002D3B1E">
        <w:rPr>
          <w:rFonts w:ascii="Calibri" w:hAnsi="Calibri"/>
          <w:sz w:val="22"/>
          <w:szCs w:val="22"/>
        </w:rPr>
        <w:t>ya</w:t>
      </w:r>
      <w:proofErr w:type="spellEnd"/>
      <w:r w:rsidRPr="002D3B1E">
        <w:rPr>
          <w:rFonts w:ascii="Calibri" w:hAnsi="Calibri"/>
          <w:sz w:val="22"/>
          <w:szCs w:val="22"/>
        </w:rPr>
        <w:t xml:space="preserve"> no las </w:t>
      </w:r>
      <w:proofErr w:type="spellStart"/>
      <w:r w:rsidRPr="002D3B1E">
        <w:rPr>
          <w:rFonts w:ascii="Calibri" w:hAnsi="Calibri"/>
          <w:sz w:val="22"/>
          <w:szCs w:val="22"/>
        </w:rPr>
        <w:t>necesito</w:t>
      </w:r>
      <w:proofErr w:type="spellEnd"/>
      <w:r w:rsidRPr="002D3B1E">
        <w:rPr>
          <w:rFonts w:ascii="Calibri" w:hAnsi="Calibri"/>
          <w:sz w:val="22"/>
          <w:szCs w:val="22"/>
        </w:rPr>
        <w:t>. I make sure that all the lights are turned off when I don’t need them.</w:t>
      </w:r>
    </w:p>
    <w:p w14:paraId="7C984626" w14:textId="77777777"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Las personas </w:t>
      </w:r>
      <w:proofErr w:type="spellStart"/>
      <w:r w:rsidRPr="002D3B1E">
        <w:rPr>
          <w:rFonts w:ascii="Calibri" w:hAnsi="Calibri"/>
          <w:sz w:val="22"/>
          <w:szCs w:val="22"/>
        </w:rPr>
        <w:t>tienen</w:t>
      </w:r>
      <w:proofErr w:type="spellEnd"/>
      <w:r w:rsidRPr="002D3B1E">
        <w:rPr>
          <w:rFonts w:ascii="Calibri" w:hAnsi="Calibri"/>
          <w:sz w:val="22"/>
          <w:szCs w:val="22"/>
        </w:rPr>
        <w:t xml:space="preserve"> el derecho de </w:t>
      </w:r>
      <w:proofErr w:type="spellStart"/>
      <w:r w:rsidRPr="002D3B1E">
        <w:rPr>
          <w:rFonts w:ascii="Calibri" w:hAnsi="Calibri"/>
          <w:sz w:val="22"/>
          <w:szCs w:val="22"/>
        </w:rPr>
        <w:t>cambiar</w:t>
      </w:r>
      <w:proofErr w:type="spellEnd"/>
      <w:r w:rsidRPr="002D3B1E">
        <w:rPr>
          <w:rFonts w:ascii="Calibri" w:hAnsi="Calibri"/>
          <w:sz w:val="22"/>
          <w:szCs w:val="22"/>
        </w:rPr>
        <w:t xml:space="preserve"> el </w:t>
      </w:r>
      <w:proofErr w:type="spellStart"/>
      <w:r w:rsidRPr="002D3B1E">
        <w:rPr>
          <w:rFonts w:ascii="Calibri" w:hAnsi="Calibri"/>
          <w:sz w:val="22"/>
          <w:szCs w:val="22"/>
        </w:rPr>
        <w:t>ambiente</w:t>
      </w:r>
      <w:proofErr w:type="spellEnd"/>
      <w:r w:rsidRPr="002D3B1E">
        <w:rPr>
          <w:rFonts w:ascii="Calibri" w:hAnsi="Calibri"/>
          <w:sz w:val="22"/>
          <w:szCs w:val="22"/>
        </w:rPr>
        <w:t xml:space="preserve"> (</w:t>
      </w:r>
      <w:proofErr w:type="spellStart"/>
      <w:r w:rsidRPr="002D3B1E">
        <w:rPr>
          <w:rFonts w:ascii="Calibri" w:hAnsi="Calibri"/>
          <w:sz w:val="22"/>
          <w:szCs w:val="22"/>
        </w:rPr>
        <w:t>naturaleza</w:t>
      </w:r>
      <w:proofErr w:type="spellEnd"/>
      <w:r w:rsidRPr="002D3B1E">
        <w:rPr>
          <w:rFonts w:ascii="Calibri" w:hAnsi="Calibri"/>
          <w:sz w:val="22"/>
          <w:szCs w:val="22"/>
        </w:rPr>
        <w:t>). People have the right to change the environment (nature).</w:t>
      </w:r>
    </w:p>
    <w:p w14:paraId="3640EB18" w14:textId="77777777"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Me </w:t>
      </w:r>
      <w:proofErr w:type="spellStart"/>
      <w:r w:rsidRPr="002D3B1E">
        <w:rPr>
          <w:rFonts w:ascii="Calibri" w:hAnsi="Calibri"/>
          <w:sz w:val="22"/>
          <w:szCs w:val="22"/>
        </w:rPr>
        <w:t>siento</w:t>
      </w:r>
      <w:proofErr w:type="spellEnd"/>
      <w:r w:rsidRPr="002D3B1E">
        <w:rPr>
          <w:rFonts w:ascii="Calibri" w:hAnsi="Calibri"/>
          <w:sz w:val="22"/>
          <w:szCs w:val="22"/>
        </w:rPr>
        <w:t xml:space="preserve"> </w:t>
      </w:r>
      <w:proofErr w:type="spellStart"/>
      <w:r w:rsidRPr="002D3B1E">
        <w:rPr>
          <w:rFonts w:ascii="Calibri" w:hAnsi="Calibri"/>
          <w:sz w:val="22"/>
          <w:szCs w:val="22"/>
        </w:rPr>
        <w:t>bien</w:t>
      </w:r>
      <w:proofErr w:type="spellEnd"/>
      <w:r w:rsidRPr="002D3B1E">
        <w:rPr>
          <w:rFonts w:ascii="Calibri" w:hAnsi="Calibri"/>
          <w:sz w:val="22"/>
          <w:szCs w:val="22"/>
        </w:rPr>
        <w:t xml:space="preserve"> en el </w:t>
      </w:r>
      <w:proofErr w:type="spellStart"/>
      <w:r w:rsidRPr="002D3B1E">
        <w:rPr>
          <w:rFonts w:ascii="Calibri" w:hAnsi="Calibri"/>
          <w:sz w:val="22"/>
          <w:szCs w:val="22"/>
        </w:rPr>
        <w:t>silencio</w:t>
      </w:r>
      <w:proofErr w:type="spellEnd"/>
      <w:r w:rsidRPr="002D3B1E">
        <w:rPr>
          <w:rFonts w:ascii="Calibri" w:hAnsi="Calibri"/>
          <w:sz w:val="22"/>
          <w:szCs w:val="22"/>
        </w:rPr>
        <w:t xml:space="preserve"> de la </w:t>
      </w:r>
      <w:proofErr w:type="spellStart"/>
      <w:r w:rsidRPr="002D3B1E">
        <w:rPr>
          <w:rFonts w:ascii="Calibri" w:hAnsi="Calibri"/>
          <w:sz w:val="22"/>
          <w:szCs w:val="22"/>
        </w:rPr>
        <w:t>naturaleza</w:t>
      </w:r>
      <w:proofErr w:type="spellEnd"/>
      <w:r w:rsidRPr="002D3B1E">
        <w:rPr>
          <w:rFonts w:ascii="Calibri" w:hAnsi="Calibri"/>
          <w:sz w:val="22"/>
          <w:szCs w:val="22"/>
        </w:rPr>
        <w:t>. I feel good in the silence of nature.</w:t>
      </w:r>
    </w:p>
    <w:p w14:paraId="5DCA006A" w14:textId="77777777"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Si </w:t>
      </w:r>
      <w:proofErr w:type="spellStart"/>
      <w:r w:rsidRPr="002D3B1E">
        <w:rPr>
          <w:rFonts w:ascii="Calibri" w:hAnsi="Calibri"/>
          <w:sz w:val="22"/>
          <w:szCs w:val="22"/>
        </w:rPr>
        <w:t>algún</w:t>
      </w:r>
      <w:proofErr w:type="spellEnd"/>
      <w:r w:rsidRPr="002D3B1E">
        <w:rPr>
          <w:rFonts w:ascii="Calibri" w:hAnsi="Calibri"/>
          <w:sz w:val="22"/>
          <w:szCs w:val="22"/>
        </w:rPr>
        <w:t xml:space="preserve"> </w:t>
      </w:r>
      <w:proofErr w:type="spellStart"/>
      <w:r w:rsidRPr="002D3B1E">
        <w:rPr>
          <w:rFonts w:ascii="Calibri" w:hAnsi="Calibri"/>
          <w:sz w:val="22"/>
          <w:szCs w:val="22"/>
        </w:rPr>
        <w:t>día</w:t>
      </w:r>
      <w:proofErr w:type="spellEnd"/>
      <w:r w:rsidRPr="002D3B1E">
        <w:rPr>
          <w:rFonts w:ascii="Calibri" w:hAnsi="Calibri"/>
          <w:sz w:val="22"/>
          <w:szCs w:val="22"/>
        </w:rPr>
        <w:t xml:space="preserve"> </w:t>
      </w:r>
      <w:proofErr w:type="spellStart"/>
      <w:r w:rsidRPr="002D3B1E">
        <w:rPr>
          <w:rFonts w:ascii="Calibri" w:hAnsi="Calibri"/>
          <w:sz w:val="22"/>
          <w:szCs w:val="22"/>
        </w:rPr>
        <w:t>tengo</w:t>
      </w:r>
      <w:proofErr w:type="spellEnd"/>
      <w:r w:rsidRPr="002D3B1E">
        <w:rPr>
          <w:rFonts w:ascii="Calibri" w:hAnsi="Calibri"/>
          <w:sz w:val="22"/>
          <w:szCs w:val="22"/>
        </w:rPr>
        <w:t xml:space="preserve"> </w:t>
      </w:r>
      <w:proofErr w:type="spellStart"/>
      <w:r w:rsidRPr="002D3B1E">
        <w:rPr>
          <w:rFonts w:ascii="Calibri" w:hAnsi="Calibri"/>
          <w:sz w:val="22"/>
          <w:szCs w:val="22"/>
        </w:rPr>
        <w:t>tiempo</w:t>
      </w:r>
      <w:proofErr w:type="spellEnd"/>
      <w:r w:rsidRPr="002D3B1E">
        <w:rPr>
          <w:rFonts w:ascii="Calibri" w:hAnsi="Calibri"/>
          <w:sz w:val="22"/>
          <w:szCs w:val="22"/>
        </w:rPr>
        <w:t xml:space="preserve"> </w:t>
      </w:r>
      <w:proofErr w:type="spellStart"/>
      <w:r w:rsidRPr="002D3B1E">
        <w:rPr>
          <w:rFonts w:ascii="Calibri" w:hAnsi="Calibri"/>
          <w:sz w:val="22"/>
          <w:szCs w:val="22"/>
        </w:rPr>
        <w:t>libre</w:t>
      </w:r>
      <w:proofErr w:type="spellEnd"/>
      <w:r w:rsidRPr="002D3B1E">
        <w:rPr>
          <w:rFonts w:ascii="Calibri" w:hAnsi="Calibri"/>
          <w:sz w:val="22"/>
          <w:szCs w:val="22"/>
        </w:rPr>
        <w:t xml:space="preserve">, me </w:t>
      </w:r>
      <w:proofErr w:type="spellStart"/>
      <w:r w:rsidRPr="002D3B1E">
        <w:rPr>
          <w:rFonts w:ascii="Calibri" w:hAnsi="Calibri"/>
          <w:sz w:val="22"/>
          <w:szCs w:val="22"/>
        </w:rPr>
        <w:t>gustaría</w:t>
      </w:r>
      <w:proofErr w:type="spellEnd"/>
      <w:r w:rsidRPr="002D3B1E">
        <w:rPr>
          <w:rFonts w:ascii="Calibri" w:hAnsi="Calibri"/>
          <w:sz w:val="22"/>
          <w:szCs w:val="22"/>
        </w:rPr>
        <w:t xml:space="preserve"> </w:t>
      </w:r>
      <w:proofErr w:type="spellStart"/>
      <w:r w:rsidRPr="002D3B1E">
        <w:rPr>
          <w:rFonts w:ascii="Calibri" w:hAnsi="Calibri"/>
          <w:sz w:val="22"/>
          <w:szCs w:val="22"/>
        </w:rPr>
        <w:t>hacer</w:t>
      </w:r>
      <w:proofErr w:type="spellEnd"/>
      <w:r w:rsidRPr="002D3B1E">
        <w:rPr>
          <w:rFonts w:ascii="Calibri" w:hAnsi="Calibri"/>
          <w:sz w:val="22"/>
          <w:szCs w:val="22"/>
        </w:rPr>
        <w:t xml:space="preserve"> </w:t>
      </w:r>
      <w:proofErr w:type="spellStart"/>
      <w:r w:rsidRPr="002D3B1E">
        <w:rPr>
          <w:rFonts w:ascii="Calibri" w:hAnsi="Calibri"/>
          <w:sz w:val="22"/>
          <w:szCs w:val="22"/>
        </w:rPr>
        <w:t>trabajo</w:t>
      </w:r>
      <w:proofErr w:type="spellEnd"/>
      <w:r w:rsidRPr="002D3B1E">
        <w:rPr>
          <w:rFonts w:ascii="Calibri" w:hAnsi="Calibri"/>
          <w:sz w:val="22"/>
          <w:szCs w:val="22"/>
        </w:rPr>
        <w:t xml:space="preserve"> para </w:t>
      </w:r>
      <w:proofErr w:type="spellStart"/>
      <w:r w:rsidRPr="002D3B1E">
        <w:rPr>
          <w:rFonts w:ascii="Calibri" w:hAnsi="Calibri"/>
          <w:sz w:val="22"/>
          <w:szCs w:val="22"/>
        </w:rPr>
        <w:t>ayudar</w:t>
      </w:r>
      <w:proofErr w:type="spellEnd"/>
      <w:r w:rsidRPr="002D3B1E">
        <w:rPr>
          <w:rFonts w:ascii="Calibri" w:hAnsi="Calibri"/>
          <w:sz w:val="22"/>
          <w:szCs w:val="22"/>
        </w:rPr>
        <w:t xml:space="preserve"> a </w:t>
      </w:r>
      <w:proofErr w:type="spellStart"/>
      <w:r w:rsidRPr="002D3B1E">
        <w:rPr>
          <w:rFonts w:ascii="Calibri" w:hAnsi="Calibri"/>
          <w:sz w:val="22"/>
          <w:szCs w:val="22"/>
        </w:rPr>
        <w:t>proteger</w:t>
      </w:r>
      <w:proofErr w:type="spellEnd"/>
      <w:r w:rsidRPr="002D3B1E">
        <w:rPr>
          <w:rFonts w:ascii="Calibri" w:hAnsi="Calibri"/>
          <w:sz w:val="22"/>
          <w:szCs w:val="22"/>
        </w:rPr>
        <w:t xml:space="preserve"> el </w:t>
      </w:r>
      <w:proofErr w:type="spellStart"/>
      <w:r w:rsidRPr="002D3B1E">
        <w:rPr>
          <w:rFonts w:ascii="Calibri" w:hAnsi="Calibri"/>
          <w:sz w:val="22"/>
          <w:szCs w:val="22"/>
        </w:rPr>
        <w:t>ambiente</w:t>
      </w:r>
      <w:proofErr w:type="spellEnd"/>
      <w:r w:rsidRPr="002D3B1E">
        <w:rPr>
          <w:rFonts w:ascii="Calibri" w:hAnsi="Calibri"/>
          <w:sz w:val="22"/>
          <w:szCs w:val="22"/>
        </w:rPr>
        <w:t xml:space="preserve">. </w:t>
      </w:r>
      <w:r w:rsidRPr="002D3B1E">
        <w:rPr>
          <w:rFonts w:ascii="MS Mincho" w:eastAsia="MS Mincho" w:hAnsi="MS Mincho" w:cs="MS Mincho"/>
          <w:sz w:val="22"/>
          <w:szCs w:val="22"/>
        </w:rPr>
        <w:t> </w:t>
      </w:r>
      <w:r w:rsidRPr="002D3B1E">
        <w:rPr>
          <w:rFonts w:ascii="Calibri" w:hAnsi="Calibri"/>
          <w:sz w:val="22"/>
          <w:szCs w:val="22"/>
        </w:rPr>
        <w:t xml:space="preserve">If </w:t>
      </w:r>
      <w:proofErr w:type="spellStart"/>
      <w:r w:rsidRPr="002D3B1E">
        <w:rPr>
          <w:rFonts w:ascii="Calibri" w:hAnsi="Calibri"/>
          <w:sz w:val="22"/>
          <w:szCs w:val="22"/>
        </w:rPr>
        <w:t>some day</w:t>
      </w:r>
      <w:proofErr w:type="spellEnd"/>
      <w:r w:rsidRPr="002D3B1E">
        <w:rPr>
          <w:rFonts w:ascii="Calibri" w:hAnsi="Calibri"/>
          <w:sz w:val="22"/>
          <w:szCs w:val="22"/>
        </w:rPr>
        <w:t xml:space="preserve"> I have free time, I would like to volunteer to help protect the environment.</w:t>
      </w:r>
    </w:p>
    <w:p w14:paraId="445A40A9" w14:textId="77777777" w:rsidR="008841CF" w:rsidRPr="002D3B1E" w:rsidRDefault="008841CF" w:rsidP="008841CF">
      <w:pPr>
        <w:pStyle w:val="ListParagraph"/>
        <w:numPr>
          <w:ilvl w:val="0"/>
          <w:numId w:val="3"/>
        </w:numPr>
        <w:rPr>
          <w:rFonts w:ascii="Calibri" w:hAnsi="Calibri"/>
          <w:sz w:val="22"/>
          <w:szCs w:val="22"/>
        </w:rPr>
      </w:pPr>
      <w:proofErr w:type="spellStart"/>
      <w:r w:rsidRPr="002D3B1E">
        <w:rPr>
          <w:rFonts w:ascii="Calibri" w:hAnsi="Calibri"/>
          <w:sz w:val="22"/>
          <w:szCs w:val="22"/>
        </w:rPr>
        <w:t>Trato</w:t>
      </w:r>
      <w:proofErr w:type="spellEnd"/>
      <w:r w:rsidRPr="002D3B1E">
        <w:rPr>
          <w:rFonts w:ascii="Calibri" w:hAnsi="Calibri"/>
          <w:sz w:val="22"/>
          <w:szCs w:val="22"/>
        </w:rPr>
        <w:t xml:space="preserve"> de </w:t>
      </w:r>
      <w:proofErr w:type="spellStart"/>
      <w:r w:rsidRPr="002D3B1E">
        <w:rPr>
          <w:rFonts w:ascii="Calibri" w:hAnsi="Calibri"/>
          <w:sz w:val="22"/>
          <w:szCs w:val="22"/>
        </w:rPr>
        <w:t>caminar</w:t>
      </w:r>
      <w:proofErr w:type="spellEnd"/>
      <w:r w:rsidRPr="002D3B1E">
        <w:rPr>
          <w:rFonts w:ascii="Calibri" w:hAnsi="Calibri"/>
          <w:sz w:val="22"/>
          <w:szCs w:val="22"/>
        </w:rPr>
        <w:t xml:space="preserve"> o </w:t>
      </w:r>
      <w:proofErr w:type="spellStart"/>
      <w:r w:rsidRPr="002D3B1E">
        <w:rPr>
          <w:rFonts w:ascii="Calibri" w:hAnsi="Calibri"/>
          <w:sz w:val="22"/>
          <w:szCs w:val="22"/>
        </w:rPr>
        <w:t>usar</w:t>
      </w:r>
      <w:proofErr w:type="spellEnd"/>
      <w:r w:rsidRPr="002D3B1E">
        <w:rPr>
          <w:rFonts w:ascii="Calibri" w:hAnsi="Calibri"/>
          <w:sz w:val="22"/>
          <w:szCs w:val="22"/>
        </w:rPr>
        <w:t xml:space="preserve"> mi </w:t>
      </w:r>
      <w:proofErr w:type="spellStart"/>
      <w:r w:rsidRPr="002D3B1E">
        <w:rPr>
          <w:rFonts w:ascii="Calibri" w:hAnsi="Calibri"/>
          <w:sz w:val="22"/>
          <w:szCs w:val="22"/>
        </w:rPr>
        <w:t>bicicleta</w:t>
      </w:r>
      <w:proofErr w:type="spellEnd"/>
      <w:r w:rsidRPr="002D3B1E">
        <w:rPr>
          <w:rFonts w:ascii="Calibri" w:hAnsi="Calibri"/>
          <w:sz w:val="22"/>
          <w:szCs w:val="22"/>
        </w:rPr>
        <w:t xml:space="preserve"> </w:t>
      </w:r>
      <w:proofErr w:type="spellStart"/>
      <w:r w:rsidRPr="002D3B1E">
        <w:rPr>
          <w:rFonts w:ascii="Calibri" w:hAnsi="Calibri"/>
          <w:sz w:val="22"/>
          <w:szCs w:val="22"/>
        </w:rPr>
        <w:t>cuando</w:t>
      </w:r>
      <w:proofErr w:type="spellEnd"/>
      <w:r w:rsidRPr="002D3B1E">
        <w:rPr>
          <w:rFonts w:ascii="Calibri" w:hAnsi="Calibri"/>
          <w:sz w:val="22"/>
          <w:szCs w:val="22"/>
        </w:rPr>
        <w:t xml:space="preserve"> </w:t>
      </w:r>
      <w:proofErr w:type="spellStart"/>
      <w:r w:rsidRPr="002D3B1E">
        <w:rPr>
          <w:rFonts w:ascii="Calibri" w:hAnsi="Calibri"/>
          <w:sz w:val="22"/>
          <w:szCs w:val="22"/>
        </w:rPr>
        <w:t>salgo</w:t>
      </w:r>
      <w:proofErr w:type="spellEnd"/>
      <w:r w:rsidRPr="002D3B1E">
        <w:rPr>
          <w:rFonts w:ascii="Calibri" w:hAnsi="Calibri"/>
          <w:sz w:val="22"/>
          <w:szCs w:val="22"/>
        </w:rPr>
        <w:t xml:space="preserve"> en </w:t>
      </w:r>
      <w:proofErr w:type="spellStart"/>
      <w:r w:rsidRPr="002D3B1E">
        <w:rPr>
          <w:rFonts w:ascii="Calibri" w:hAnsi="Calibri"/>
          <w:sz w:val="22"/>
          <w:szCs w:val="22"/>
        </w:rPr>
        <w:t>vez</w:t>
      </w:r>
      <w:proofErr w:type="spellEnd"/>
      <w:r w:rsidRPr="002D3B1E">
        <w:rPr>
          <w:rFonts w:ascii="Calibri" w:hAnsi="Calibri"/>
          <w:sz w:val="22"/>
          <w:szCs w:val="22"/>
        </w:rPr>
        <w:t xml:space="preserve"> de </w:t>
      </w:r>
      <w:proofErr w:type="spellStart"/>
      <w:r w:rsidRPr="002D3B1E">
        <w:rPr>
          <w:rFonts w:ascii="Calibri" w:hAnsi="Calibri"/>
          <w:sz w:val="22"/>
          <w:szCs w:val="22"/>
        </w:rPr>
        <w:t>usar</w:t>
      </w:r>
      <w:proofErr w:type="spellEnd"/>
      <w:r w:rsidRPr="002D3B1E">
        <w:rPr>
          <w:rFonts w:ascii="Calibri" w:hAnsi="Calibri"/>
          <w:sz w:val="22"/>
          <w:szCs w:val="22"/>
        </w:rPr>
        <w:t xml:space="preserve"> el </w:t>
      </w:r>
      <w:proofErr w:type="spellStart"/>
      <w:r w:rsidRPr="002D3B1E">
        <w:rPr>
          <w:rFonts w:ascii="Calibri" w:hAnsi="Calibri"/>
          <w:sz w:val="22"/>
          <w:szCs w:val="22"/>
        </w:rPr>
        <w:t>carro</w:t>
      </w:r>
      <w:proofErr w:type="spellEnd"/>
      <w:r w:rsidRPr="002D3B1E">
        <w:rPr>
          <w:rFonts w:ascii="Calibri" w:hAnsi="Calibri"/>
          <w:sz w:val="22"/>
          <w:szCs w:val="22"/>
        </w:rPr>
        <w:t>. When I leave I try to walk or use my bicycle instead of using the car.</w:t>
      </w:r>
    </w:p>
    <w:p w14:paraId="09CDE15A" w14:textId="41941963" w:rsidR="008841CF" w:rsidRPr="002D3B1E" w:rsidRDefault="008841CF" w:rsidP="008841CF">
      <w:pPr>
        <w:pStyle w:val="ListParagraph"/>
        <w:numPr>
          <w:ilvl w:val="0"/>
          <w:numId w:val="3"/>
        </w:numPr>
        <w:rPr>
          <w:rFonts w:ascii="Calibri" w:hAnsi="Calibri"/>
          <w:sz w:val="22"/>
          <w:szCs w:val="22"/>
        </w:rPr>
      </w:pPr>
      <w:proofErr w:type="spellStart"/>
      <w:r w:rsidRPr="002D3B1E">
        <w:rPr>
          <w:rFonts w:ascii="Calibri" w:hAnsi="Calibri"/>
          <w:sz w:val="22"/>
          <w:szCs w:val="22"/>
        </w:rPr>
        <w:t>Construir</w:t>
      </w:r>
      <w:proofErr w:type="spellEnd"/>
      <w:r w:rsidRPr="002D3B1E">
        <w:rPr>
          <w:rFonts w:ascii="Calibri" w:hAnsi="Calibri"/>
          <w:sz w:val="22"/>
          <w:szCs w:val="22"/>
        </w:rPr>
        <w:t xml:space="preserve"> </w:t>
      </w:r>
      <w:proofErr w:type="spellStart"/>
      <w:r w:rsidRPr="002D3B1E">
        <w:rPr>
          <w:rFonts w:ascii="Calibri" w:hAnsi="Calibri"/>
          <w:sz w:val="22"/>
          <w:szCs w:val="22"/>
        </w:rPr>
        <w:t>nuevas</w:t>
      </w:r>
      <w:proofErr w:type="spellEnd"/>
      <w:r w:rsidRPr="002D3B1E">
        <w:rPr>
          <w:rFonts w:ascii="Calibri" w:hAnsi="Calibri"/>
          <w:sz w:val="22"/>
          <w:szCs w:val="22"/>
        </w:rPr>
        <w:t xml:space="preserve"> </w:t>
      </w:r>
      <w:proofErr w:type="spellStart"/>
      <w:r w:rsidRPr="002D3B1E">
        <w:rPr>
          <w:rFonts w:ascii="Calibri" w:hAnsi="Calibri"/>
          <w:sz w:val="22"/>
          <w:szCs w:val="22"/>
        </w:rPr>
        <w:t>carreteras</w:t>
      </w:r>
      <w:proofErr w:type="spellEnd"/>
      <w:r w:rsidRPr="002D3B1E">
        <w:rPr>
          <w:rFonts w:ascii="Calibri" w:hAnsi="Calibri"/>
          <w:sz w:val="22"/>
          <w:szCs w:val="22"/>
        </w:rPr>
        <w:t xml:space="preserve"> </w:t>
      </w:r>
      <w:proofErr w:type="spellStart"/>
      <w:r w:rsidRPr="002D3B1E">
        <w:rPr>
          <w:rFonts w:ascii="Calibri" w:hAnsi="Calibri"/>
          <w:sz w:val="22"/>
          <w:szCs w:val="22"/>
        </w:rPr>
        <w:t>es</w:t>
      </w:r>
      <w:proofErr w:type="spellEnd"/>
      <w:r w:rsidRPr="002D3B1E">
        <w:rPr>
          <w:rFonts w:ascii="Calibri" w:hAnsi="Calibri"/>
          <w:sz w:val="22"/>
          <w:szCs w:val="22"/>
        </w:rPr>
        <w:t xml:space="preserve"> tan </w:t>
      </w:r>
      <w:proofErr w:type="spellStart"/>
      <w:r w:rsidRPr="002D3B1E">
        <w:rPr>
          <w:rFonts w:ascii="Calibri" w:hAnsi="Calibri"/>
          <w:sz w:val="22"/>
          <w:szCs w:val="22"/>
        </w:rPr>
        <w:t>importante</w:t>
      </w:r>
      <w:proofErr w:type="spellEnd"/>
      <w:r w:rsidRPr="002D3B1E">
        <w:rPr>
          <w:rFonts w:ascii="Calibri" w:hAnsi="Calibri"/>
          <w:sz w:val="22"/>
          <w:szCs w:val="22"/>
        </w:rPr>
        <w:t xml:space="preserve">, que </w:t>
      </w:r>
      <w:proofErr w:type="spellStart"/>
      <w:r w:rsidRPr="002D3B1E">
        <w:rPr>
          <w:rFonts w:ascii="Calibri" w:hAnsi="Calibri"/>
          <w:sz w:val="22"/>
          <w:szCs w:val="22"/>
        </w:rPr>
        <w:t>debemos</w:t>
      </w:r>
      <w:proofErr w:type="spellEnd"/>
      <w:r w:rsidRPr="002D3B1E">
        <w:rPr>
          <w:rFonts w:ascii="Calibri" w:hAnsi="Calibri"/>
          <w:sz w:val="22"/>
          <w:szCs w:val="22"/>
        </w:rPr>
        <w:t xml:space="preserve"> de </w:t>
      </w:r>
      <w:proofErr w:type="spellStart"/>
      <w:r w:rsidRPr="002D3B1E">
        <w:rPr>
          <w:rFonts w:ascii="Calibri" w:hAnsi="Calibri"/>
          <w:sz w:val="22"/>
          <w:szCs w:val="22"/>
        </w:rPr>
        <w:t>cortar</w:t>
      </w:r>
      <w:proofErr w:type="spellEnd"/>
      <w:r w:rsidRPr="002D3B1E">
        <w:rPr>
          <w:rFonts w:ascii="Calibri" w:hAnsi="Calibri"/>
          <w:sz w:val="22"/>
          <w:szCs w:val="22"/>
        </w:rPr>
        <w:t xml:space="preserve"> los </w:t>
      </w:r>
      <w:proofErr w:type="spellStart"/>
      <w:r w:rsidRPr="002D3B1E">
        <w:rPr>
          <w:rFonts w:ascii="Calibri" w:hAnsi="Calibri"/>
          <w:sz w:val="22"/>
          <w:szCs w:val="22"/>
        </w:rPr>
        <w:t>arboles</w:t>
      </w:r>
      <w:proofErr w:type="spellEnd"/>
      <w:r w:rsidRPr="002D3B1E">
        <w:rPr>
          <w:rFonts w:ascii="Calibri" w:hAnsi="Calibri"/>
          <w:sz w:val="22"/>
          <w:szCs w:val="22"/>
        </w:rPr>
        <w:t xml:space="preserve"> y los cactus. Constructing new roads is so important that we should cut down trees and cactus </w:t>
      </w:r>
    </w:p>
    <w:p w14:paraId="3A4AEB00" w14:textId="3D86CE5F" w:rsidR="008841CF" w:rsidRPr="002D3B1E" w:rsidRDefault="008841CF" w:rsidP="008841CF">
      <w:pPr>
        <w:pStyle w:val="ListParagraph"/>
        <w:numPr>
          <w:ilvl w:val="0"/>
          <w:numId w:val="3"/>
        </w:numPr>
        <w:rPr>
          <w:rFonts w:ascii="Calibri" w:hAnsi="Calibri"/>
          <w:sz w:val="22"/>
          <w:szCs w:val="22"/>
        </w:rPr>
      </w:pPr>
      <w:proofErr w:type="spellStart"/>
      <w:r w:rsidRPr="002D3B1E">
        <w:rPr>
          <w:rFonts w:ascii="Calibri" w:hAnsi="Calibri"/>
          <w:sz w:val="22"/>
          <w:szCs w:val="22"/>
        </w:rPr>
        <w:lastRenderedPageBreak/>
        <w:t>Intento</w:t>
      </w:r>
      <w:proofErr w:type="spellEnd"/>
      <w:r w:rsidRPr="002D3B1E">
        <w:rPr>
          <w:rFonts w:ascii="Calibri" w:hAnsi="Calibri"/>
          <w:sz w:val="22"/>
          <w:szCs w:val="22"/>
        </w:rPr>
        <w:t xml:space="preserve"> de </w:t>
      </w:r>
      <w:proofErr w:type="spellStart"/>
      <w:r w:rsidRPr="002D3B1E">
        <w:rPr>
          <w:rFonts w:ascii="Calibri" w:hAnsi="Calibri"/>
          <w:sz w:val="22"/>
          <w:szCs w:val="22"/>
        </w:rPr>
        <w:t>decirles</w:t>
      </w:r>
      <w:proofErr w:type="spellEnd"/>
      <w:r w:rsidRPr="002D3B1E">
        <w:rPr>
          <w:rFonts w:ascii="Calibri" w:hAnsi="Calibri"/>
          <w:sz w:val="22"/>
          <w:szCs w:val="22"/>
        </w:rPr>
        <w:t xml:space="preserve"> a </w:t>
      </w:r>
      <w:proofErr w:type="spellStart"/>
      <w:r w:rsidRPr="002D3B1E">
        <w:rPr>
          <w:rFonts w:ascii="Calibri" w:hAnsi="Calibri"/>
          <w:sz w:val="22"/>
          <w:szCs w:val="22"/>
        </w:rPr>
        <w:t>otros</w:t>
      </w:r>
      <w:proofErr w:type="spellEnd"/>
      <w:r w:rsidRPr="002D3B1E">
        <w:rPr>
          <w:rFonts w:ascii="Calibri" w:hAnsi="Calibri"/>
          <w:sz w:val="22"/>
          <w:szCs w:val="22"/>
        </w:rPr>
        <w:t xml:space="preserve"> que la </w:t>
      </w:r>
      <w:proofErr w:type="spellStart"/>
      <w:r w:rsidRPr="002D3B1E">
        <w:rPr>
          <w:rFonts w:ascii="Calibri" w:hAnsi="Calibri"/>
          <w:sz w:val="22"/>
          <w:szCs w:val="22"/>
        </w:rPr>
        <w:t>naturaleza</w:t>
      </w:r>
      <w:proofErr w:type="spellEnd"/>
      <w:r w:rsidRPr="002D3B1E">
        <w:rPr>
          <w:rFonts w:ascii="Calibri" w:hAnsi="Calibri"/>
          <w:sz w:val="22"/>
          <w:szCs w:val="22"/>
        </w:rPr>
        <w:t xml:space="preserve"> </w:t>
      </w:r>
      <w:proofErr w:type="spellStart"/>
      <w:r w:rsidRPr="002D3B1E">
        <w:rPr>
          <w:rFonts w:ascii="Calibri" w:hAnsi="Calibri"/>
          <w:sz w:val="22"/>
          <w:szCs w:val="22"/>
        </w:rPr>
        <w:t>es</w:t>
      </w:r>
      <w:proofErr w:type="spellEnd"/>
      <w:r w:rsidRPr="002D3B1E">
        <w:rPr>
          <w:rFonts w:ascii="Calibri" w:hAnsi="Calibri"/>
          <w:sz w:val="22"/>
          <w:szCs w:val="22"/>
        </w:rPr>
        <w:t xml:space="preserve"> </w:t>
      </w:r>
      <w:proofErr w:type="spellStart"/>
      <w:r w:rsidRPr="002D3B1E">
        <w:rPr>
          <w:rFonts w:ascii="Calibri" w:hAnsi="Calibri"/>
          <w:sz w:val="22"/>
          <w:szCs w:val="22"/>
        </w:rPr>
        <w:t>importante</w:t>
      </w:r>
      <w:proofErr w:type="spellEnd"/>
      <w:r w:rsidRPr="002D3B1E">
        <w:rPr>
          <w:rFonts w:ascii="Calibri" w:hAnsi="Calibri"/>
          <w:sz w:val="22"/>
          <w:szCs w:val="22"/>
        </w:rPr>
        <w:t xml:space="preserve">. I try to tell others that nature is important. </w:t>
      </w:r>
      <w:r w:rsidRPr="002D3B1E">
        <w:rPr>
          <w:rFonts w:ascii="MS Mincho" w:eastAsia="MS Mincho" w:hAnsi="MS Mincho" w:cs="MS Mincho"/>
          <w:sz w:val="22"/>
          <w:szCs w:val="22"/>
        </w:rPr>
        <w:t> </w:t>
      </w:r>
    </w:p>
    <w:p w14:paraId="67262668" w14:textId="699ED327" w:rsidR="008841CF" w:rsidRPr="002D3B1E" w:rsidRDefault="008841CF" w:rsidP="008841CF">
      <w:pPr>
        <w:pStyle w:val="ListParagraph"/>
        <w:numPr>
          <w:ilvl w:val="0"/>
          <w:numId w:val="3"/>
        </w:numPr>
        <w:rPr>
          <w:rFonts w:ascii="Calibri" w:hAnsi="Calibri"/>
          <w:sz w:val="22"/>
          <w:szCs w:val="22"/>
        </w:rPr>
      </w:pPr>
      <w:proofErr w:type="spellStart"/>
      <w:r w:rsidRPr="002D3B1E">
        <w:rPr>
          <w:rFonts w:ascii="Calibri" w:hAnsi="Calibri"/>
          <w:sz w:val="22"/>
          <w:szCs w:val="22"/>
        </w:rPr>
        <w:t>Trato</w:t>
      </w:r>
      <w:proofErr w:type="spellEnd"/>
      <w:r w:rsidRPr="002D3B1E">
        <w:rPr>
          <w:rFonts w:ascii="Calibri" w:hAnsi="Calibri"/>
          <w:sz w:val="22"/>
          <w:szCs w:val="22"/>
        </w:rPr>
        <w:t xml:space="preserve"> de </w:t>
      </w:r>
      <w:proofErr w:type="spellStart"/>
      <w:r w:rsidRPr="002D3B1E">
        <w:rPr>
          <w:rFonts w:ascii="Calibri" w:hAnsi="Calibri"/>
          <w:sz w:val="22"/>
          <w:szCs w:val="22"/>
        </w:rPr>
        <w:t>cuidar</w:t>
      </w:r>
      <w:proofErr w:type="spellEnd"/>
      <w:r w:rsidRPr="002D3B1E">
        <w:rPr>
          <w:rFonts w:ascii="Calibri" w:hAnsi="Calibri"/>
          <w:sz w:val="22"/>
          <w:szCs w:val="22"/>
        </w:rPr>
        <w:t xml:space="preserve"> el </w:t>
      </w:r>
      <w:proofErr w:type="spellStart"/>
      <w:r w:rsidRPr="002D3B1E">
        <w:rPr>
          <w:rFonts w:ascii="Calibri" w:hAnsi="Calibri"/>
          <w:sz w:val="22"/>
          <w:szCs w:val="22"/>
        </w:rPr>
        <w:t>agua</w:t>
      </w:r>
      <w:proofErr w:type="spellEnd"/>
      <w:r w:rsidRPr="002D3B1E">
        <w:rPr>
          <w:rFonts w:ascii="Calibri" w:hAnsi="Calibri"/>
          <w:sz w:val="22"/>
          <w:szCs w:val="22"/>
        </w:rPr>
        <w:t xml:space="preserve"> </w:t>
      </w:r>
      <w:proofErr w:type="spellStart"/>
      <w:r w:rsidRPr="002D3B1E">
        <w:rPr>
          <w:rFonts w:ascii="Calibri" w:hAnsi="Calibri"/>
          <w:sz w:val="22"/>
          <w:szCs w:val="22"/>
        </w:rPr>
        <w:t>teniendo</w:t>
      </w:r>
      <w:proofErr w:type="spellEnd"/>
      <w:r w:rsidRPr="002D3B1E">
        <w:rPr>
          <w:rFonts w:ascii="Calibri" w:hAnsi="Calibri"/>
          <w:sz w:val="22"/>
          <w:szCs w:val="22"/>
        </w:rPr>
        <w:t xml:space="preserve"> mis </w:t>
      </w:r>
      <w:proofErr w:type="spellStart"/>
      <w:r w:rsidRPr="002D3B1E">
        <w:rPr>
          <w:rFonts w:ascii="Calibri" w:hAnsi="Calibri"/>
          <w:sz w:val="22"/>
          <w:szCs w:val="22"/>
        </w:rPr>
        <w:t>duchas</w:t>
      </w:r>
      <w:proofErr w:type="spellEnd"/>
      <w:r w:rsidRPr="002D3B1E">
        <w:rPr>
          <w:rFonts w:ascii="Calibri" w:hAnsi="Calibri"/>
          <w:sz w:val="22"/>
          <w:szCs w:val="22"/>
        </w:rPr>
        <w:t xml:space="preserve"> mas </w:t>
      </w:r>
      <w:proofErr w:type="spellStart"/>
      <w:r w:rsidRPr="002D3B1E">
        <w:rPr>
          <w:rFonts w:ascii="Calibri" w:hAnsi="Calibri"/>
          <w:sz w:val="22"/>
          <w:szCs w:val="22"/>
        </w:rPr>
        <w:t>cortas</w:t>
      </w:r>
      <w:proofErr w:type="spellEnd"/>
      <w:r w:rsidRPr="002D3B1E">
        <w:rPr>
          <w:rFonts w:ascii="Calibri" w:hAnsi="Calibri"/>
          <w:sz w:val="22"/>
          <w:szCs w:val="22"/>
        </w:rPr>
        <w:t xml:space="preserve">, o </w:t>
      </w:r>
      <w:proofErr w:type="spellStart"/>
      <w:r w:rsidRPr="002D3B1E">
        <w:rPr>
          <w:rFonts w:ascii="Calibri" w:hAnsi="Calibri"/>
          <w:sz w:val="22"/>
          <w:szCs w:val="22"/>
        </w:rPr>
        <w:t>cerrando</w:t>
      </w:r>
      <w:proofErr w:type="spellEnd"/>
      <w:r w:rsidRPr="002D3B1E">
        <w:rPr>
          <w:rFonts w:ascii="Calibri" w:hAnsi="Calibri"/>
          <w:sz w:val="22"/>
          <w:szCs w:val="22"/>
        </w:rPr>
        <w:t xml:space="preserve"> la </w:t>
      </w:r>
      <w:proofErr w:type="spellStart"/>
      <w:r w:rsidRPr="002D3B1E">
        <w:rPr>
          <w:rFonts w:ascii="Calibri" w:hAnsi="Calibri"/>
          <w:sz w:val="22"/>
          <w:szCs w:val="22"/>
        </w:rPr>
        <w:t>llave</w:t>
      </w:r>
      <w:proofErr w:type="spellEnd"/>
      <w:r w:rsidRPr="002D3B1E">
        <w:rPr>
          <w:rFonts w:ascii="Calibri" w:hAnsi="Calibri"/>
          <w:sz w:val="22"/>
          <w:szCs w:val="22"/>
        </w:rPr>
        <w:t xml:space="preserve"> del </w:t>
      </w:r>
      <w:proofErr w:type="spellStart"/>
      <w:r w:rsidRPr="002D3B1E">
        <w:rPr>
          <w:rFonts w:ascii="Calibri" w:hAnsi="Calibri"/>
          <w:sz w:val="22"/>
          <w:szCs w:val="22"/>
        </w:rPr>
        <w:t>agua</w:t>
      </w:r>
      <w:proofErr w:type="spellEnd"/>
      <w:r w:rsidRPr="002D3B1E">
        <w:rPr>
          <w:rFonts w:ascii="Calibri" w:hAnsi="Calibri"/>
          <w:sz w:val="22"/>
          <w:szCs w:val="22"/>
        </w:rPr>
        <w:t xml:space="preserve"> </w:t>
      </w:r>
      <w:proofErr w:type="spellStart"/>
      <w:r w:rsidRPr="002D3B1E">
        <w:rPr>
          <w:rFonts w:ascii="Calibri" w:hAnsi="Calibri"/>
          <w:sz w:val="22"/>
          <w:szCs w:val="22"/>
        </w:rPr>
        <w:t>cuando</w:t>
      </w:r>
      <w:proofErr w:type="spellEnd"/>
      <w:r w:rsidRPr="002D3B1E">
        <w:rPr>
          <w:rFonts w:ascii="Calibri" w:hAnsi="Calibri"/>
          <w:sz w:val="22"/>
          <w:szCs w:val="22"/>
        </w:rPr>
        <w:t xml:space="preserve"> me </w:t>
      </w:r>
      <w:proofErr w:type="spellStart"/>
      <w:r w:rsidRPr="002D3B1E">
        <w:rPr>
          <w:rFonts w:ascii="Calibri" w:hAnsi="Calibri"/>
          <w:sz w:val="22"/>
          <w:szCs w:val="22"/>
        </w:rPr>
        <w:t>lavo</w:t>
      </w:r>
      <w:proofErr w:type="spellEnd"/>
      <w:r w:rsidRPr="002D3B1E">
        <w:rPr>
          <w:rFonts w:ascii="Calibri" w:hAnsi="Calibri"/>
          <w:sz w:val="22"/>
          <w:szCs w:val="22"/>
        </w:rPr>
        <w:t xml:space="preserve"> los </w:t>
      </w:r>
      <w:proofErr w:type="spellStart"/>
      <w:r w:rsidRPr="002D3B1E">
        <w:rPr>
          <w:rFonts w:ascii="Calibri" w:hAnsi="Calibri"/>
          <w:sz w:val="22"/>
          <w:szCs w:val="22"/>
        </w:rPr>
        <w:t>dientes</w:t>
      </w:r>
      <w:proofErr w:type="spellEnd"/>
      <w:r w:rsidRPr="002D3B1E">
        <w:rPr>
          <w:rFonts w:ascii="Calibri" w:hAnsi="Calibri"/>
          <w:sz w:val="22"/>
          <w:szCs w:val="22"/>
        </w:rPr>
        <w:t xml:space="preserve">. </w:t>
      </w:r>
      <w:r w:rsidRPr="002D3B1E">
        <w:rPr>
          <w:rFonts w:ascii="MS Mincho" w:eastAsia="MS Mincho" w:hAnsi="MS Mincho" w:cs="MS Mincho"/>
          <w:sz w:val="22"/>
          <w:szCs w:val="22"/>
        </w:rPr>
        <w:t> </w:t>
      </w:r>
      <w:r w:rsidRPr="002D3B1E">
        <w:rPr>
          <w:rFonts w:ascii="Calibri" w:hAnsi="Calibri"/>
          <w:sz w:val="22"/>
          <w:szCs w:val="22"/>
        </w:rPr>
        <w:t xml:space="preserve">I try to save water by taking shorter showers, or turning off the water when I brush my teeth. </w:t>
      </w:r>
      <w:r w:rsidRPr="002D3B1E">
        <w:rPr>
          <w:rFonts w:ascii="MS Mincho" w:eastAsia="MS Mincho" w:hAnsi="MS Mincho" w:cs="MS Mincho"/>
          <w:sz w:val="22"/>
          <w:szCs w:val="22"/>
        </w:rPr>
        <w:t> </w:t>
      </w:r>
    </w:p>
    <w:p w14:paraId="3D9C4198" w14:textId="5428CE9D"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Las personas </w:t>
      </w:r>
      <w:proofErr w:type="spellStart"/>
      <w:r w:rsidRPr="002D3B1E">
        <w:rPr>
          <w:rFonts w:ascii="Calibri" w:hAnsi="Calibri"/>
          <w:sz w:val="22"/>
          <w:szCs w:val="22"/>
        </w:rPr>
        <w:t>deben</w:t>
      </w:r>
      <w:proofErr w:type="spellEnd"/>
      <w:r w:rsidRPr="002D3B1E">
        <w:rPr>
          <w:rFonts w:ascii="Calibri" w:hAnsi="Calibri"/>
          <w:sz w:val="22"/>
          <w:szCs w:val="22"/>
        </w:rPr>
        <w:t xml:space="preserve"> de </w:t>
      </w:r>
      <w:proofErr w:type="spellStart"/>
      <w:r w:rsidRPr="002D3B1E">
        <w:rPr>
          <w:rFonts w:ascii="Calibri" w:hAnsi="Calibri"/>
          <w:sz w:val="22"/>
          <w:szCs w:val="22"/>
        </w:rPr>
        <w:t>reinar</w:t>
      </w:r>
      <w:proofErr w:type="spellEnd"/>
      <w:r w:rsidRPr="002D3B1E">
        <w:rPr>
          <w:rFonts w:ascii="Calibri" w:hAnsi="Calibri"/>
          <w:sz w:val="22"/>
          <w:szCs w:val="22"/>
        </w:rPr>
        <w:t xml:space="preserve"> </w:t>
      </w:r>
      <w:proofErr w:type="spellStart"/>
      <w:r w:rsidRPr="002D3B1E">
        <w:rPr>
          <w:rFonts w:ascii="Calibri" w:hAnsi="Calibri"/>
          <w:sz w:val="22"/>
          <w:szCs w:val="22"/>
        </w:rPr>
        <w:t>sobre</w:t>
      </w:r>
      <w:proofErr w:type="spellEnd"/>
      <w:r w:rsidRPr="002D3B1E">
        <w:rPr>
          <w:rFonts w:ascii="Calibri" w:hAnsi="Calibri"/>
          <w:sz w:val="22"/>
          <w:szCs w:val="22"/>
        </w:rPr>
        <w:t xml:space="preserve"> la </w:t>
      </w:r>
      <w:proofErr w:type="spellStart"/>
      <w:r w:rsidRPr="002D3B1E">
        <w:rPr>
          <w:rFonts w:ascii="Calibri" w:hAnsi="Calibri"/>
          <w:sz w:val="22"/>
          <w:szCs w:val="22"/>
        </w:rPr>
        <w:t>naturaleza</w:t>
      </w:r>
      <w:proofErr w:type="spellEnd"/>
      <w:r w:rsidRPr="002D3B1E">
        <w:rPr>
          <w:rFonts w:ascii="Calibri" w:hAnsi="Calibri"/>
          <w:sz w:val="22"/>
          <w:szCs w:val="22"/>
        </w:rPr>
        <w:t xml:space="preserve">. People are supposed to rule over nature. </w:t>
      </w:r>
      <w:r w:rsidRPr="002D3B1E">
        <w:rPr>
          <w:rFonts w:ascii="MS Mincho" w:eastAsia="MS Mincho" w:hAnsi="MS Mincho" w:cs="MS Mincho"/>
          <w:sz w:val="22"/>
          <w:szCs w:val="22"/>
        </w:rPr>
        <w:t> </w:t>
      </w:r>
    </w:p>
    <w:p w14:paraId="2E8D2795" w14:textId="0B761F3C"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Me </w:t>
      </w:r>
      <w:proofErr w:type="spellStart"/>
      <w:r w:rsidRPr="002D3B1E">
        <w:rPr>
          <w:rFonts w:ascii="Calibri" w:hAnsi="Calibri"/>
          <w:sz w:val="22"/>
          <w:szCs w:val="22"/>
        </w:rPr>
        <w:t>encantaría</w:t>
      </w:r>
      <w:proofErr w:type="spellEnd"/>
      <w:r w:rsidRPr="002D3B1E">
        <w:rPr>
          <w:rFonts w:ascii="Calibri" w:hAnsi="Calibri"/>
          <w:sz w:val="22"/>
          <w:szCs w:val="22"/>
        </w:rPr>
        <w:t xml:space="preserve"> </w:t>
      </w:r>
      <w:proofErr w:type="spellStart"/>
      <w:r w:rsidRPr="002D3B1E">
        <w:rPr>
          <w:rFonts w:ascii="Calibri" w:hAnsi="Calibri"/>
          <w:sz w:val="22"/>
          <w:szCs w:val="22"/>
        </w:rPr>
        <w:t>visitar</w:t>
      </w:r>
      <w:proofErr w:type="spellEnd"/>
      <w:r w:rsidRPr="002D3B1E">
        <w:rPr>
          <w:rFonts w:ascii="Calibri" w:hAnsi="Calibri"/>
          <w:sz w:val="22"/>
          <w:szCs w:val="22"/>
        </w:rPr>
        <w:t xml:space="preserve"> un oasis en el </w:t>
      </w:r>
      <w:proofErr w:type="spellStart"/>
      <w:r w:rsidRPr="002D3B1E">
        <w:rPr>
          <w:rFonts w:ascii="Calibri" w:hAnsi="Calibri"/>
          <w:sz w:val="22"/>
          <w:szCs w:val="22"/>
        </w:rPr>
        <w:t>desierto</w:t>
      </w:r>
      <w:proofErr w:type="spellEnd"/>
      <w:r w:rsidRPr="002D3B1E">
        <w:rPr>
          <w:rFonts w:ascii="Calibri" w:hAnsi="Calibri"/>
          <w:sz w:val="22"/>
          <w:szCs w:val="22"/>
        </w:rPr>
        <w:t xml:space="preserve"> para </w:t>
      </w:r>
      <w:proofErr w:type="spellStart"/>
      <w:r w:rsidRPr="002D3B1E">
        <w:rPr>
          <w:rFonts w:ascii="Calibri" w:hAnsi="Calibri"/>
          <w:sz w:val="22"/>
          <w:szCs w:val="22"/>
        </w:rPr>
        <w:t>mirar</w:t>
      </w:r>
      <w:proofErr w:type="spellEnd"/>
      <w:r w:rsidRPr="002D3B1E">
        <w:rPr>
          <w:rFonts w:ascii="Calibri" w:hAnsi="Calibri"/>
          <w:sz w:val="22"/>
          <w:szCs w:val="22"/>
        </w:rPr>
        <w:t xml:space="preserve"> </w:t>
      </w:r>
      <w:proofErr w:type="spellStart"/>
      <w:r w:rsidRPr="002D3B1E">
        <w:rPr>
          <w:rFonts w:ascii="Calibri" w:hAnsi="Calibri"/>
          <w:sz w:val="22"/>
          <w:szCs w:val="22"/>
        </w:rPr>
        <w:t>pájaros</w:t>
      </w:r>
      <w:proofErr w:type="spellEnd"/>
      <w:r w:rsidRPr="002D3B1E">
        <w:rPr>
          <w:rFonts w:ascii="Calibri" w:hAnsi="Calibri"/>
          <w:sz w:val="22"/>
          <w:szCs w:val="22"/>
        </w:rPr>
        <w:t xml:space="preserve"> </w:t>
      </w:r>
      <w:proofErr w:type="spellStart"/>
      <w:r w:rsidRPr="002D3B1E">
        <w:rPr>
          <w:rFonts w:ascii="Calibri" w:hAnsi="Calibri"/>
          <w:sz w:val="22"/>
          <w:szCs w:val="22"/>
        </w:rPr>
        <w:t>volando</w:t>
      </w:r>
      <w:proofErr w:type="spellEnd"/>
      <w:r w:rsidRPr="002D3B1E">
        <w:rPr>
          <w:rFonts w:ascii="Calibri" w:hAnsi="Calibri"/>
          <w:sz w:val="22"/>
          <w:szCs w:val="22"/>
        </w:rPr>
        <w:t>.</w:t>
      </w:r>
      <w:r w:rsidRPr="002D3B1E">
        <w:rPr>
          <w:rFonts w:ascii="MS Mincho" w:eastAsia="MS Mincho" w:hAnsi="MS Mincho" w:cs="MS Mincho"/>
          <w:sz w:val="22"/>
          <w:szCs w:val="22"/>
        </w:rPr>
        <w:t> </w:t>
      </w:r>
      <w:r w:rsidRPr="002D3B1E">
        <w:rPr>
          <w:rFonts w:ascii="Calibri" w:hAnsi="Calibri"/>
          <w:sz w:val="22"/>
          <w:szCs w:val="22"/>
        </w:rPr>
        <w:t xml:space="preserve">I would really enjoy visiting an oasis in the desert to watch birds in </w:t>
      </w:r>
      <w:r w:rsidRPr="002D3B1E">
        <w:rPr>
          <w:rFonts w:ascii="MS Mincho" w:eastAsia="MS Mincho" w:hAnsi="MS Mincho" w:cs="MS Mincho"/>
          <w:sz w:val="22"/>
          <w:szCs w:val="22"/>
        </w:rPr>
        <w:t> </w:t>
      </w:r>
      <w:r w:rsidRPr="002D3B1E">
        <w:rPr>
          <w:rFonts w:ascii="Calibri" w:hAnsi="Calibri"/>
          <w:sz w:val="22"/>
          <w:szCs w:val="22"/>
        </w:rPr>
        <w:t xml:space="preserve">flight. </w:t>
      </w:r>
      <w:r w:rsidRPr="002D3B1E">
        <w:rPr>
          <w:rFonts w:ascii="MS Mincho" w:eastAsia="MS Mincho" w:hAnsi="MS Mincho" w:cs="MS Mincho"/>
          <w:sz w:val="22"/>
          <w:szCs w:val="22"/>
        </w:rPr>
        <w:t> </w:t>
      </w:r>
    </w:p>
    <w:p w14:paraId="78343DEA" w14:textId="4D98F698"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La mala </w:t>
      </w:r>
      <w:proofErr w:type="spellStart"/>
      <w:r w:rsidRPr="002D3B1E">
        <w:rPr>
          <w:rFonts w:ascii="Calibri" w:hAnsi="Calibri"/>
          <w:sz w:val="22"/>
          <w:szCs w:val="22"/>
        </w:rPr>
        <w:t>hierba</w:t>
      </w:r>
      <w:proofErr w:type="spellEnd"/>
      <w:r w:rsidRPr="002D3B1E">
        <w:rPr>
          <w:rFonts w:ascii="Calibri" w:hAnsi="Calibri"/>
          <w:sz w:val="22"/>
          <w:szCs w:val="22"/>
        </w:rPr>
        <w:t xml:space="preserve"> </w:t>
      </w:r>
      <w:proofErr w:type="spellStart"/>
      <w:r w:rsidRPr="002D3B1E">
        <w:rPr>
          <w:rFonts w:ascii="Calibri" w:hAnsi="Calibri"/>
          <w:sz w:val="22"/>
          <w:szCs w:val="22"/>
        </w:rPr>
        <w:t>debe</w:t>
      </w:r>
      <w:proofErr w:type="spellEnd"/>
      <w:r w:rsidRPr="002D3B1E">
        <w:rPr>
          <w:rFonts w:ascii="Calibri" w:hAnsi="Calibri"/>
          <w:sz w:val="22"/>
          <w:szCs w:val="22"/>
        </w:rPr>
        <w:t xml:space="preserve"> de </w:t>
      </w:r>
      <w:proofErr w:type="spellStart"/>
      <w:r w:rsidRPr="002D3B1E">
        <w:rPr>
          <w:rFonts w:ascii="Calibri" w:hAnsi="Calibri"/>
          <w:sz w:val="22"/>
          <w:szCs w:val="22"/>
        </w:rPr>
        <w:t>ser</w:t>
      </w:r>
      <w:proofErr w:type="spellEnd"/>
      <w:r w:rsidRPr="002D3B1E">
        <w:rPr>
          <w:rFonts w:ascii="Calibri" w:hAnsi="Calibri"/>
          <w:sz w:val="22"/>
          <w:szCs w:val="22"/>
        </w:rPr>
        <w:t xml:space="preserve"> </w:t>
      </w:r>
      <w:proofErr w:type="spellStart"/>
      <w:r w:rsidRPr="002D3B1E">
        <w:rPr>
          <w:rFonts w:ascii="Calibri" w:hAnsi="Calibri"/>
          <w:sz w:val="22"/>
          <w:szCs w:val="22"/>
        </w:rPr>
        <w:t>cortada</w:t>
      </w:r>
      <w:proofErr w:type="spellEnd"/>
      <w:r w:rsidRPr="002D3B1E">
        <w:rPr>
          <w:rFonts w:ascii="Calibri" w:hAnsi="Calibri"/>
          <w:sz w:val="22"/>
          <w:szCs w:val="22"/>
        </w:rPr>
        <w:t xml:space="preserve"> </w:t>
      </w:r>
      <w:proofErr w:type="spellStart"/>
      <w:r w:rsidRPr="002D3B1E">
        <w:rPr>
          <w:rFonts w:ascii="Calibri" w:hAnsi="Calibri"/>
          <w:sz w:val="22"/>
          <w:szCs w:val="22"/>
        </w:rPr>
        <w:t>porque</w:t>
      </w:r>
      <w:proofErr w:type="spellEnd"/>
      <w:r w:rsidRPr="002D3B1E">
        <w:rPr>
          <w:rFonts w:ascii="Calibri" w:hAnsi="Calibri"/>
          <w:sz w:val="22"/>
          <w:szCs w:val="22"/>
        </w:rPr>
        <w:t xml:space="preserve"> </w:t>
      </w:r>
      <w:proofErr w:type="spellStart"/>
      <w:r w:rsidRPr="002D3B1E">
        <w:rPr>
          <w:rFonts w:ascii="Calibri" w:hAnsi="Calibri"/>
          <w:sz w:val="22"/>
          <w:szCs w:val="22"/>
        </w:rPr>
        <w:t>toman</w:t>
      </w:r>
      <w:proofErr w:type="spellEnd"/>
      <w:r w:rsidRPr="002D3B1E">
        <w:rPr>
          <w:rFonts w:ascii="Calibri" w:hAnsi="Calibri"/>
          <w:sz w:val="22"/>
          <w:szCs w:val="22"/>
        </w:rPr>
        <w:t xml:space="preserve"> el </w:t>
      </w:r>
      <w:proofErr w:type="spellStart"/>
      <w:r w:rsidRPr="002D3B1E">
        <w:rPr>
          <w:rFonts w:ascii="Calibri" w:hAnsi="Calibri"/>
          <w:sz w:val="22"/>
          <w:szCs w:val="22"/>
        </w:rPr>
        <w:t>espacio</w:t>
      </w:r>
      <w:proofErr w:type="spellEnd"/>
      <w:r w:rsidRPr="002D3B1E">
        <w:rPr>
          <w:rFonts w:ascii="Calibri" w:hAnsi="Calibri"/>
          <w:sz w:val="22"/>
          <w:szCs w:val="22"/>
        </w:rPr>
        <w:t xml:space="preserve"> de las </w:t>
      </w:r>
      <w:proofErr w:type="spellStart"/>
      <w:r w:rsidRPr="002D3B1E">
        <w:rPr>
          <w:rFonts w:ascii="Calibri" w:hAnsi="Calibri"/>
          <w:sz w:val="22"/>
          <w:szCs w:val="22"/>
        </w:rPr>
        <w:t>plantas</w:t>
      </w:r>
      <w:proofErr w:type="spellEnd"/>
      <w:r w:rsidRPr="002D3B1E">
        <w:rPr>
          <w:rFonts w:ascii="Calibri" w:hAnsi="Calibri"/>
          <w:sz w:val="22"/>
          <w:szCs w:val="22"/>
        </w:rPr>
        <w:t xml:space="preserve"> </w:t>
      </w:r>
      <w:r w:rsidRPr="002D3B1E">
        <w:rPr>
          <w:rFonts w:ascii="MS Mincho" w:eastAsia="MS Mincho" w:hAnsi="MS Mincho" w:cs="MS Mincho"/>
          <w:sz w:val="22"/>
          <w:szCs w:val="22"/>
        </w:rPr>
        <w:t> </w:t>
      </w:r>
      <w:r w:rsidRPr="002D3B1E">
        <w:rPr>
          <w:rFonts w:ascii="Calibri" w:hAnsi="Calibri"/>
          <w:sz w:val="22"/>
          <w:szCs w:val="22"/>
        </w:rPr>
        <w:t xml:space="preserve">que </w:t>
      </w:r>
      <w:proofErr w:type="spellStart"/>
      <w:r w:rsidRPr="002D3B1E">
        <w:rPr>
          <w:rFonts w:ascii="Calibri" w:hAnsi="Calibri"/>
          <w:sz w:val="22"/>
          <w:szCs w:val="22"/>
        </w:rPr>
        <w:t>necesitamos</w:t>
      </w:r>
      <w:proofErr w:type="spellEnd"/>
      <w:r w:rsidRPr="002D3B1E">
        <w:rPr>
          <w:rFonts w:ascii="Calibri" w:hAnsi="Calibri"/>
          <w:sz w:val="22"/>
          <w:szCs w:val="22"/>
        </w:rPr>
        <w:t>.</w:t>
      </w:r>
      <w:r w:rsidRPr="002D3B1E">
        <w:rPr>
          <w:rFonts w:ascii="MS Mincho" w:eastAsia="MS Mincho" w:hAnsi="MS Mincho" w:cs="MS Mincho"/>
          <w:sz w:val="22"/>
          <w:szCs w:val="22"/>
        </w:rPr>
        <w:t> </w:t>
      </w:r>
      <w:r w:rsidRPr="002D3B1E">
        <w:rPr>
          <w:rFonts w:ascii="Calibri" w:hAnsi="Calibri"/>
          <w:sz w:val="22"/>
          <w:szCs w:val="22"/>
        </w:rPr>
        <w:t xml:space="preserve">Weeds should be cut because they take up space from the plants that we </w:t>
      </w:r>
      <w:r w:rsidRPr="002D3B1E">
        <w:rPr>
          <w:rFonts w:ascii="MS Mincho" w:eastAsia="MS Mincho" w:hAnsi="MS Mincho" w:cs="MS Mincho"/>
          <w:sz w:val="22"/>
          <w:szCs w:val="22"/>
        </w:rPr>
        <w:t> </w:t>
      </w:r>
      <w:r w:rsidRPr="002D3B1E">
        <w:rPr>
          <w:rFonts w:ascii="Calibri" w:hAnsi="Calibri"/>
          <w:sz w:val="22"/>
          <w:szCs w:val="22"/>
        </w:rPr>
        <w:t xml:space="preserve">need. </w:t>
      </w:r>
      <w:r w:rsidRPr="002D3B1E">
        <w:rPr>
          <w:rFonts w:ascii="MS Mincho" w:eastAsia="MS Mincho" w:hAnsi="MS Mincho" w:cs="MS Mincho"/>
          <w:sz w:val="22"/>
          <w:szCs w:val="22"/>
        </w:rPr>
        <w:t> </w:t>
      </w:r>
    </w:p>
    <w:p w14:paraId="07384275" w14:textId="1B8ECF08"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Las personas </w:t>
      </w:r>
      <w:proofErr w:type="spellStart"/>
      <w:r w:rsidRPr="002D3B1E">
        <w:rPr>
          <w:rFonts w:ascii="Calibri" w:hAnsi="Calibri"/>
          <w:sz w:val="22"/>
          <w:szCs w:val="22"/>
        </w:rPr>
        <w:t>deben</w:t>
      </w:r>
      <w:proofErr w:type="spellEnd"/>
      <w:r w:rsidRPr="002D3B1E">
        <w:rPr>
          <w:rFonts w:ascii="Calibri" w:hAnsi="Calibri"/>
          <w:sz w:val="22"/>
          <w:szCs w:val="22"/>
        </w:rPr>
        <w:t xml:space="preserve"> de comer </w:t>
      </w:r>
      <w:proofErr w:type="spellStart"/>
      <w:r w:rsidRPr="002D3B1E">
        <w:rPr>
          <w:rFonts w:ascii="Calibri" w:hAnsi="Calibri"/>
          <w:sz w:val="22"/>
          <w:szCs w:val="22"/>
        </w:rPr>
        <w:t>huevos</w:t>
      </w:r>
      <w:proofErr w:type="spellEnd"/>
      <w:r w:rsidRPr="002D3B1E">
        <w:rPr>
          <w:rFonts w:ascii="Calibri" w:hAnsi="Calibri"/>
          <w:sz w:val="22"/>
          <w:szCs w:val="22"/>
        </w:rPr>
        <w:t xml:space="preserve"> y carne de las </w:t>
      </w:r>
      <w:proofErr w:type="spellStart"/>
      <w:r w:rsidRPr="002D3B1E">
        <w:rPr>
          <w:rFonts w:ascii="Calibri" w:hAnsi="Calibri"/>
          <w:sz w:val="22"/>
          <w:szCs w:val="22"/>
        </w:rPr>
        <w:t>tortugas</w:t>
      </w:r>
      <w:proofErr w:type="spellEnd"/>
      <w:r w:rsidRPr="002D3B1E">
        <w:rPr>
          <w:rFonts w:ascii="Calibri" w:hAnsi="Calibri"/>
          <w:sz w:val="22"/>
          <w:szCs w:val="22"/>
        </w:rPr>
        <w:t xml:space="preserve"> del mar en </w:t>
      </w:r>
      <w:r w:rsidRPr="002D3B1E">
        <w:rPr>
          <w:rFonts w:ascii="MS Mincho" w:eastAsia="MS Mincho" w:hAnsi="MS Mincho" w:cs="MS Mincho"/>
          <w:sz w:val="22"/>
          <w:szCs w:val="22"/>
        </w:rPr>
        <w:t> </w:t>
      </w:r>
      <w:proofErr w:type="spellStart"/>
      <w:r w:rsidRPr="002D3B1E">
        <w:rPr>
          <w:rFonts w:ascii="Calibri" w:hAnsi="Calibri"/>
          <w:sz w:val="22"/>
          <w:szCs w:val="22"/>
        </w:rPr>
        <w:t>ocasiones</w:t>
      </w:r>
      <w:proofErr w:type="spellEnd"/>
      <w:r w:rsidRPr="002D3B1E">
        <w:rPr>
          <w:rFonts w:ascii="Calibri" w:hAnsi="Calibri"/>
          <w:sz w:val="22"/>
          <w:szCs w:val="22"/>
        </w:rPr>
        <w:t xml:space="preserve"> </w:t>
      </w:r>
      <w:proofErr w:type="spellStart"/>
      <w:r w:rsidRPr="002D3B1E">
        <w:rPr>
          <w:rFonts w:ascii="Calibri" w:hAnsi="Calibri"/>
          <w:sz w:val="22"/>
          <w:szCs w:val="22"/>
        </w:rPr>
        <w:t>importantes</w:t>
      </w:r>
      <w:proofErr w:type="spellEnd"/>
      <w:r w:rsidRPr="002D3B1E">
        <w:rPr>
          <w:rFonts w:ascii="Calibri" w:hAnsi="Calibri"/>
          <w:sz w:val="22"/>
          <w:szCs w:val="22"/>
        </w:rPr>
        <w:t xml:space="preserve">, </w:t>
      </w:r>
      <w:proofErr w:type="spellStart"/>
      <w:r w:rsidRPr="002D3B1E">
        <w:rPr>
          <w:rFonts w:ascii="Calibri" w:hAnsi="Calibri"/>
          <w:sz w:val="22"/>
          <w:szCs w:val="22"/>
        </w:rPr>
        <w:t>como</w:t>
      </w:r>
      <w:proofErr w:type="spellEnd"/>
      <w:r w:rsidRPr="002D3B1E">
        <w:rPr>
          <w:rFonts w:ascii="Calibri" w:hAnsi="Calibri"/>
          <w:sz w:val="22"/>
          <w:szCs w:val="22"/>
        </w:rPr>
        <w:t xml:space="preserve"> </w:t>
      </w:r>
      <w:proofErr w:type="spellStart"/>
      <w:r w:rsidRPr="002D3B1E">
        <w:rPr>
          <w:rFonts w:ascii="Calibri" w:hAnsi="Calibri"/>
          <w:sz w:val="22"/>
          <w:szCs w:val="22"/>
        </w:rPr>
        <w:t>quinceañeras</w:t>
      </w:r>
      <w:proofErr w:type="spellEnd"/>
      <w:r w:rsidRPr="002D3B1E">
        <w:rPr>
          <w:rFonts w:ascii="Calibri" w:hAnsi="Calibri"/>
          <w:sz w:val="22"/>
          <w:szCs w:val="22"/>
        </w:rPr>
        <w:t xml:space="preserve"> y </w:t>
      </w:r>
      <w:proofErr w:type="spellStart"/>
      <w:r w:rsidRPr="002D3B1E">
        <w:rPr>
          <w:rFonts w:ascii="Calibri" w:hAnsi="Calibri"/>
          <w:sz w:val="22"/>
          <w:szCs w:val="22"/>
        </w:rPr>
        <w:t>navidad</w:t>
      </w:r>
      <w:proofErr w:type="spellEnd"/>
      <w:r w:rsidRPr="002D3B1E">
        <w:rPr>
          <w:rFonts w:ascii="Calibri" w:hAnsi="Calibri"/>
          <w:sz w:val="22"/>
          <w:szCs w:val="22"/>
        </w:rPr>
        <w:t>.</w:t>
      </w:r>
      <w:r w:rsidRPr="002D3B1E">
        <w:rPr>
          <w:rFonts w:ascii="Calibri" w:eastAsia="MS Mincho" w:hAnsi="Calibri" w:cs="MS Mincho"/>
          <w:sz w:val="22"/>
          <w:szCs w:val="22"/>
        </w:rPr>
        <w:t xml:space="preserve"> </w:t>
      </w:r>
      <w:r w:rsidRPr="002D3B1E">
        <w:rPr>
          <w:rFonts w:ascii="Calibri" w:hAnsi="Calibri"/>
          <w:sz w:val="22"/>
          <w:szCs w:val="22"/>
        </w:rPr>
        <w:t>People should be able to eat the eggs and meat from sea turtles on</w:t>
      </w:r>
      <w:r w:rsidRPr="002D3B1E">
        <w:rPr>
          <w:rFonts w:ascii="Calibri" w:eastAsia="MS Mincho" w:hAnsi="Calibri" w:cs="MS Mincho"/>
          <w:sz w:val="22"/>
          <w:szCs w:val="22"/>
        </w:rPr>
        <w:t xml:space="preserve"> </w:t>
      </w:r>
      <w:r w:rsidRPr="002D3B1E">
        <w:rPr>
          <w:rFonts w:ascii="Calibri" w:hAnsi="Calibri"/>
          <w:sz w:val="22"/>
          <w:szCs w:val="22"/>
        </w:rPr>
        <w:t xml:space="preserve">important occasions like </w:t>
      </w:r>
      <w:proofErr w:type="spellStart"/>
      <w:r w:rsidRPr="002D3B1E">
        <w:rPr>
          <w:rFonts w:ascii="Calibri" w:hAnsi="Calibri"/>
          <w:sz w:val="22"/>
          <w:szCs w:val="22"/>
        </w:rPr>
        <w:t>quinceañeras</w:t>
      </w:r>
      <w:proofErr w:type="spellEnd"/>
      <w:r w:rsidRPr="002D3B1E">
        <w:rPr>
          <w:rFonts w:ascii="Calibri" w:hAnsi="Calibri"/>
          <w:sz w:val="22"/>
          <w:szCs w:val="22"/>
        </w:rPr>
        <w:t xml:space="preserve"> and Christmas.</w:t>
      </w:r>
      <w:r w:rsidRPr="002D3B1E">
        <w:rPr>
          <w:rFonts w:ascii="MS Mincho" w:eastAsia="MS Mincho" w:hAnsi="MS Mincho" w:cs="MS Mincho"/>
          <w:sz w:val="22"/>
          <w:szCs w:val="22"/>
        </w:rPr>
        <w:t> </w:t>
      </w:r>
    </w:p>
    <w:p w14:paraId="145A2D24" w14:textId="2804D872"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Si </w:t>
      </w:r>
      <w:proofErr w:type="spellStart"/>
      <w:r w:rsidRPr="002D3B1E">
        <w:rPr>
          <w:rFonts w:ascii="Calibri" w:hAnsi="Calibri"/>
          <w:sz w:val="22"/>
          <w:szCs w:val="22"/>
        </w:rPr>
        <w:t>yo</w:t>
      </w:r>
      <w:proofErr w:type="spellEnd"/>
      <w:r w:rsidRPr="002D3B1E">
        <w:rPr>
          <w:rFonts w:ascii="Calibri" w:hAnsi="Calibri"/>
          <w:sz w:val="22"/>
          <w:szCs w:val="22"/>
        </w:rPr>
        <w:t xml:space="preserve"> </w:t>
      </w:r>
      <w:proofErr w:type="spellStart"/>
      <w:r w:rsidRPr="002D3B1E">
        <w:rPr>
          <w:rFonts w:ascii="Calibri" w:hAnsi="Calibri"/>
          <w:sz w:val="22"/>
          <w:szCs w:val="22"/>
        </w:rPr>
        <w:t>tuviera</w:t>
      </w:r>
      <w:proofErr w:type="spellEnd"/>
      <w:r w:rsidRPr="002D3B1E">
        <w:rPr>
          <w:rFonts w:ascii="Calibri" w:hAnsi="Calibri"/>
          <w:sz w:val="22"/>
          <w:szCs w:val="22"/>
        </w:rPr>
        <w:t xml:space="preserve"> </w:t>
      </w:r>
      <w:proofErr w:type="spellStart"/>
      <w:r w:rsidRPr="002D3B1E">
        <w:rPr>
          <w:rFonts w:ascii="Calibri" w:hAnsi="Calibri"/>
          <w:sz w:val="22"/>
          <w:szCs w:val="22"/>
        </w:rPr>
        <w:t>dinero</w:t>
      </w:r>
      <w:proofErr w:type="spellEnd"/>
      <w:r w:rsidRPr="002D3B1E">
        <w:rPr>
          <w:rFonts w:ascii="Calibri" w:hAnsi="Calibri"/>
          <w:sz w:val="22"/>
          <w:szCs w:val="22"/>
        </w:rPr>
        <w:t xml:space="preserve"> extra </w:t>
      </w:r>
      <w:proofErr w:type="spellStart"/>
      <w:r w:rsidRPr="002D3B1E">
        <w:rPr>
          <w:rFonts w:ascii="Calibri" w:hAnsi="Calibri"/>
          <w:sz w:val="22"/>
          <w:szCs w:val="22"/>
        </w:rPr>
        <w:t>estaría</w:t>
      </w:r>
      <w:proofErr w:type="spellEnd"/>
      <w:r w:rsidRPr="002D3B1E">
        <w:rPr>
          <w:rFonts w:ascii="Calibri" w:hAnsi="Calibri"/>
          <w:sz w:val="22"/>
          <w:szCs w:val="22"/>
        </w:rPr>
        <w:t xml:space="preserve"> de </w:t>
      </w:r>
      <w:proofErr w:type="spellStart"/>
      <w:r w:rsidRPr="002D3B1E">
        <w:rPr>
          <w:rFonts w:ascii="Calibri" w:hAnsi="Calibri"/>
          <w:sz w:val="22"/>
          <w:szCs w:val="22"/>
        </w:rPr>
        <w:t>acuerdo</w:t>
      </w:r>
      <w:proofErr w:type="spellEnd"/>
      <w:r w:rsidRPr="002D3B1E">
        <w:rPr>
          <w:rFonts w:ascii="Calibri" w:hAnsi="Calibri"/>
          <w:sz w:val="22"/>
          <w:szCs w:val="22"/>
        </w:rPr>
        <w:t xml:space="preserve"> para </w:t>
      </w:r>
      <w:proofErr w:type="spellStart"/>
      <w:r w:rsidRPr="002D3B1E">
        <w:rPr>
          <w:rFonts w:ascii="Calibri" w:hAnsi="Calibri"/>
          <w:sz w:val="22"/>
          <w:szCs w:val="22"/>
        </w:rPr>
        <w:t>dar</w:t>
      </w:r>
      <w:proofErr w:type="spellEnd"/>
      <w:r w:rsidRPr="002D3B1E">
        <w:rPr>
          <w:rFonts w:ascii="Calibri" w:hAnsi="Calibri"/>
          <w:sz w:val="22"/>
          <w:szCs w:val="22"/>
        </w:rPr>
        <w:t xml:space="preserve"> a un </w:t>
      </w:r>
      <w:proofErr w:type="spellStart"/>
      <w:r w:rsidRPr="002D3B1E">
        <w:rPr>
          <w:rFonts w:ascii="Calibri" w:hAnsi="Calibri"/>
          <w:sz w:val="22"/>
          <w:szCs w:val="22"/>
        </w:rPr>
        <w:t>teletón</w:t>
      </w:r>
      <w:proofErr w:type="spellEnd"/>
      <w:r w:rsidRPr="002D3B1E">
        <w:rPr>
          <w:rFonts w:ascii="Calibri" w:hAnsi="Calibri"/>
          <w:sz w:val="22"/>
          <w:szCs w:val="22"/>
        </w:rPr>
        <w:t xml:space="preserve"> que </w:t>
      </w:r>
      <w:proofErr w:type="spellStart"/>
      <w:r w:rsidRPr="002D3B1E">
        <w:rPr>
          <w:rFonts w:ascii="Calibri" w:hAnsi="Calibri"/>
          <w:sz w:val="22"/>
          <w:szCs w:val="22"/>
        </w:rPr>
        <w:t>proteja</w:t>
      </w:r>
      <w:proofErr w:type="spellEnd"/>
      <w:r w:rsidRPr="002D3B1E">
        <w:rPr>
          <w:rFonts w:ascii="Calibri" w:hAnsi="Calibri"/>
          <w:sz w:val="22"/>
          <w:szCs w:val="22"/>
        </w:rPr>
        <w:t xml:space="preserve"> la </w:t>
      </w:r>
      <w:proofErr w:type="spellStart"/>
      <w:r w:rsidRPr="002D3B1E">
        <w:rPr>
          <w:rFonts w:ascii="Calibri" w:hAnsi="Calibri"/>
          <w:sz w:val="22"/>
          <w:szCs w:val="22"/>
        </w:rPr>
        <w:t>naturaleza</w:t>
      </w:r>
      <w:proofErr w:type="spellEnd"/>
      <w:r w:rsidRPr="002D3B1E">
        <w:rPr>
          <w:rFonts w:ascii="Calibri" w:hAnsi="Calibri"/>
          <w:sz w:val="22"/>
          <w:szCs w:val="22"/>
        </w:rPr>
        <w:t xml:space="preserve">. </w:t>
      </w:r>
      <w:r w:rsidRPr="002D3B1E">
        <w:rPr>
          <w:rFonts w:ascii="MS Mincho" w:eastAsia="MS Mincho" w:hAnsi="MS Mincho" w:cs="MS Mincho"/>
          <w:sz w:val="22"/>
          <w:szCs w:val="22"/>
        </w:rPr>
        <w:t> </w:t>
      </w:r>
      <w:r w:rsidRPr="002D3B1E">
        <w:rPr>
          <w:rFonts w:ascii="Calibri" w:hAnsi="Calibri"/>
          <w:sz w:val="22"/>
          <w:szCs w:val="22"/>
        </w:rPr>
        <w:t xml:space="preserve">If I have extra money I would be open to donating to a telethon that protects nature. </w:t>
      </w:r>
      <w:r w:rsidRPr="002D3B1E">
        <w:rPr>
          <w:rFonts w:ascii="MS Mincho" w:eastAsia="MS Mincho" w:hAnsi="MS Mincho" w:cs="MS Mincho"/>
          <w:sz w:val="22"/>
          <w:szCs w:val="22"/>
        </w:rPr>
        <w:t> </w:t>
      </w:r>
    </w:p>
    <w:p w14:paraId="62827F1D" w14:textId="50A91BA1"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Para </w:t>
      </w:r>
      <w:proofErr w:type="spellStart"/>
      <w:r w:rsidRPr="002D3B1E">
        <w:rPr>
          <w:rFonts w:ascii="Calibri" w:hAnsi="Calibri"/>
          <w:sz w:val="22"/>
          <w:szCs w:val="22"/>
        </w:rPr>
        <w:t>alimentar</w:t>
      </w:r>
      <w:proofErr w:type="spellEnd"/>
      <w:r w:rsidRPr="002D3B1E">
        <w:rPr>
          <w:rFonts w:ascii="Calibri" w:hAnsi="Calibri"/>
          <w:sz w:val="22"/>
          <w:szCs w:val="22"/>
        </w:rPr>
        <w:t xml:space="preserve"> a las personas, la </w:t>
      </w:r>
      <w:proofErr w:type="spellStart"/>
      <w:r w:rsidRPr="002D3B1E">
        <w:rPr>
          <w:rFonts w:ascii="Calibri" w:hAnsi="Calibri"/>
          <w:sz w:val="22"/>
          <w:szCs w:val="22"/>
        </w:rPr>
        <w:t>naturaleza</w:t>
      </w:r>
      <w:proofErr w:type="spellEnd"/>
      <w:r w:rsidRPr="002D3B1E">
        <w:rPr>
          <w:rFonts w:ascii="Calibri" w:hAnsi="Calibri"/>
          <w:sz w:val="22"/>
          <w:szCs w:val="22"/>
        </w:rPr>
        <w:t xml:space="preserve"> </w:t>
      </w:r>
      <w:proofErr w:type="spellStart"/>
      <w:r w:rsidRPr="002D3B1E">
        <w:rPr>
          <w:rFonts w:ascii="Calibri" w:hAnsi="Calibri"/>
          <w:sz w:val="22"/>
          <w:szCs w:val="22"/>
        </w:rPr>
        <w:t>debe</w:t>
      </w:r>
      <w:proofErr w:type="spellEnd"/>
      <w:r w:rsidRPr="002D3B1E">
        <w:rPr>
          <w:rFonts w:ascii="Calibri" w:hAnsi="Calibri"/>
          <w:sz w:val="22"/>
          <w:szCs w:val="22"/>
        </w:rPr>
        <w:t xml:space="preserve"> de </w:t>
      </w:r>
      <w:proofErr w:type="spellStart"/>
      <w:r w:rsidRPr="002D3B1E">
        <w:rPr>
          <w:rFonts w:ascii="Calibri" w:hAnsi="Calibri"/>
          <w:sz w:val="22"/>
          <w:szCs w:val="22"/>
        </w:rPr>
        <w:t>ser</w:t>
      </w:r>
      <w:proofErr w:type="spellEnd"/>
      <w:r w:rsidRPr="002D3B1E">
        <w:rPr>
          <w:rFonts w:ascii="Calibri" w:hAnsi="Calibri"/>
          <w:sz w:val="22"/>
          <w:szCs w:val="22"/>
        </w:rPr>
        <w:t xml:space="preserve"> </w:t>
      </w:r>
      <w:proofErr w:type="spellStart"/>
      <w:r w:rsidRPr="002D3B1E">
        <w:rPr>
          <w:rFonts w:ascii="Calibri" w:hAnsi="Calibri"/>
          <w:sz w:val="22"/>
          <w:szCs w:val="22"/>
        </w:rPr>
        <w:t>quitada</w:t>
      </w:r>
      <w:proofErr w:type="spellEnd"/>
      <w:r w:rsidRPr="002D3B1E">
        <w:rPr>
          <w:rFonts w:ascii="Calibri" w:hAnsi="Calibri"/>
          <w:sz w:val="22"/>
          <w:szCs w:val="22"/>
        </w:rPr>
        <w:t xml:space="preserve"> para </w:t>
      </w:r>
      <w:proofErr w:type="spellStart"/>
      <w:r w:rsidRPr="002D3B1E">
        <w:rPr>
          <w:rFonts w:ascii="Calibri" w:hAnsi="Calibri"/>
          <w:sz w:val="22"/>
          <w:szCs w:val="22"/>
        </w:rPr>
        <w:t>poder</w:t>
      </w:r>
      <w:proofErr w:type="spellEnd"/>
      <w:r w:rsidRPr="002D3B1E">
        <w:rPr>
          <w:rFonts w:ascii="Calibri" w:hAnsi="Calibri"/>
          <w:sz w:val="22"/>
          <w:szCs w:val="22"/>
        </w:rPr>
        <w:t xml:space="preserve"> cultivar comida. </w:t>
      </w:r>
      <w:r w:rsidRPr="002D3B1E">
        <w:rPr>
          <w:rFonts w:ascii="MS Mincho" w:eastAsia="MS Mincho" w:hAnsi="MS Mincho" w:cs="MS Mincho"/>
          <w:sz w:val="22"/>
          <w:szCs w:val="22"/>
        </w:rPr>
        <w:t> </w:t>
      </w:r>
      <w:r w:rsidRPr="002D3B1E">
        <w:rPr>
          <w:rFonts w:ascii="Calibri" w:hAnsi="Calibri"/>
          <w:sz w:val="22"/>
          <w:szCs w:val="22"/>
        </w:rPr>
        <w:t xml:space="preserve">To feed people nature should be cleared in order to grow food. </w:t>
      </w:r>
      <w:r w:rsidRPr="002D3B1E">
        <w:rPr>
          <w:rFonts w:ascii="MS Mincho" w:eastAsia="MS Mincho" w:hAnsi="MS Mincho" w:cs="MS Mincho"/>
          <w:sz w:val="22"/>
          <w:szCs w:val="22"/>
        </w:rPr>
        <w:t> </w:t>
      </w:r>
    </w:p>
    <w:p w14:paraId="43536EDA" w14:textId="0295D266" w:rsidR="008841CF" w:rsidRPr="002D3B1E" w:rsidRDefault="008841CF" w:rsidP="008841CF">
      <w:pPr>
        <w:pStyle w:val="ListParagraph"/>
        <w:numPr>
          <w:ilvl w:val="0"/>
          <w:numId w:val="3"/>
        </w:numPr>
        <w:rPr>
          <w:rFonts w:ascii="Calibri" w:hAnsi="Calibri"/>
          <w:sz w:val="22"/>
          <w:szCs w:val="22"/>
        </w:rPr>
      </w:pPr>
      <w:proofErr w:type="spellStart"/>
      <w:r w:rsidRPr="002D3B1E">
        <w:rPr>
          <w:rFonts w:ascii="Calibri" w:hAnsi="Calibri"/>
          <w:sz w:val="22"/>
          <w:szCs w:val="22"/>
        </w:rPr>
        <w:t>Debido</w:t>
      </w:r>
      <w:proofErr w:type="spellEnd"/>
      <w:r w:rsidRPr="002D3B1E">
        <w:rPr>
          <w:rFonts w:ascii="Calibri" w:hAnsi="Calibri"/>
          <w:sz w:val="22"/>
          <w:szCs w:val="22"/>
        </w:rPr>
        <w:t xml:space="preserve"> a que los mosquitos </w:t>
      </w:r>
      <w:proofErr w:type="spellStart"/>
      <w:r w:rsidRPr="002D3B1E">
        <w:rPr>
          <w:rFonts w:ascii="Calibri" w:hAnsi="Calibri"/>
          <w:sz w:val="22"/>
          <w:szCs w:val="22"/>
        </w:rPr>
        <w:t>viven</w:t>
      </w:r>
      <w:proofErr w:type="spellEnd"/>
      <w:r w:rsidRPr="002D3B1E">
        <w:rPr>
          <w:rFonts w:ascii="Calibri" w:hAnsi="Calibri"/>
          <w:sz w:val="22"/>
          <w:szCs w:val="22"/>
        </w:rPr>
        <w:t xml:space="preserve"> en las </w:t>
      </w:r>
      <w:proofErr w:type="spellStart"/>
      <w:r w:rsidRPr="002D3B1E">
        <w:rPr>
          <w:rFonts w:ascii="Calibri" w:hAnsi="Calibri"/>
          <w:sz w:val="22"/>
          <w:szCs w:val="22"/>
        </w:rPr>
        <w:t>áreas</w:t>
      </w:r>
      <w:proofErr w:type="spellEnd"/>
      <w:r w:rsidRPr="002D3B1E">
        <w:rPr>
          <w:rFonts w:ascii="Calibri" w:hAnsi="Calibri"/>
          <w:sz w:val="22"/>
          <w:szCs w:val="22"/>
        </w:rPr>
        <w:t xml:space="preserve"> </w:t>
      </w:r>
      <w:proofErr w:type="spellStart"/>
      <w:r w:rsidRPr="002D3B1E">
        <w:rPr>
          <w:rFonts w:ascii="Calibri" w:hAnsi="Calibri"/>
          <w:sz w:val="22"/>
          <w:szCs w:val="22"/>
        </w:rPr>
        <w:t>húmedas</w:t>
      </w:r>
      <w:proofErr w:type="spellEnd"/>
      <w:r w:rsidRPr="002D3B1E">
        <w:rPr>
          <w:rFonts w:ascii="Calibri" w:hAnsi="Calibri"/>
          <w:sz w:val="22"/>
          <w:szCs w:val="22"/>
        </w:rPr>
        <w:t xml:space="preserve">, </w:t>
      </w:r>
      <w:proofErr w:type="spellStart"/>
      <w:r w:rsidRPr="002D3B1E">
        <w:rPr>
          <w:rFonts w:ascii="Calibri" w:hAnsi="Calibri"/>
          <w:sz w:val="22"/>
          <w:szCs w:val="22"/>
        </w:rPr>
        <w:t>sería</w:t>
      </w:r>
      <w:proofErr w:type="spellEnd"/>
      <w:r w:rsidRPr="002D3B1E">
        <w:rPr>
          <w:rFonts w:ascii="Calibri" w:hAnsi="Calibri"/>
          <w:sz w:val="22"/>
          <w:szCs w:val="22"/>
        </w:rPr>
        <w:t xml:space="preserve"> </w:t>
      </w:r>
      <w:proofErr w:type="spellStart"/>
      <w:r w:rsidRPr="002D3B1E">
        <w:rPr>
          <w:rFonts w:ascii="Calibri" w:hAnsi="Calibri"/>
          <w:sz w:val="22"/>
          <w:szCs w:val="22"/>
        </w:rPr>
        <w:t>mejor</w:t>
      </w:r>
      <w:proofErr w:type="spellEnd"/>
      <w:r w:rsidRPr="002D3B1E">
        <w:rPr>
          <w:rFonts w:ascii="Calibri" w:hAnsi="Calibri"/>
          <w:sz w:val="22"/>
          <w:szCs w:val="22"/>
        </w:rPr>
        <w:t xml:space="preserve"> </w:t>
      </w:r>
      <w:proofErr w:type="spellStart"/>
      <w:r w:rsidRPr="002D3B1E">
        <w:rPr>
          <w:rFonts w:ascii="Calibri" w:hAnsi="Calibri"/>
          <w:sz w:val="22"/>
          <w:szCs w:val="22"/>
        </w:rPr>
        <w:t>drenar</w:t>
      </w:r>
      <w:proofErr w:type="spellEnd"/>
      <w:r w:rsidRPr="002D3B1E">
        <w:rPr>
          <w:rFonts w:ascii="Calibri" w:hAnsi="Calibri"/>
          <w:sz w:val="22"/>
          <w:szCs w:val="22"/>
        </w:rPr>
        <w:t xml:space="preserve"> </w:t>
      </w:r>
      <w:r w:rsidRPr="002D3B1E">
        <w:rPr>
          <w:rFonts w:ascii="MS Mincho" w:eastAsia="MS Mincho" w:hAnsi="MS Mincho" w:cs="MS Mincho"/>
          <w:sz w:val="22"/>
          <w:szCs w:val="22"/>
        </w:rPr>
        <w:t> </w:t>
      </w:r>
      <w:r w:rsidRPr="002D3B1E">
        <w:rPr>
          <w:rFonts w:ascii="Calibri" w:hAnsi="Calibri"/>
          <w:sz w:val="22"/>
          <w:szCs w:val="22"/>
        </w:rPr>
        <w:t xml:space="preserve">las </w:t>
      </w:r>
      <w:proofErr w:type="spellStart"/>
      <w:r w:rsidRPr="002D3B1E">
        <w:rPr>
          <w:rFonts w:ascii="Calibri" w:hAnsi="Calibri"/>
          <w:sz w:val="22"/>
          <w:szCs w:val="22"/>
        </w:rPr>
        <w:t>tierras</w:t>
      </w:r>
      <w:proofErr w:type="spellEnd"/>
      <w:r w:rsidRPr="002D3B1E">
        <w:rPr>
          <w:rFonts w:ascii="Calibri" w:hAnsi="Calibri"/>
          <w:sz w:val="22"/>
          <w:szCs w:val="22"/>
        </w:rPr>
        <w:t xml:space="preserve"> para </w:t>
      </w:r>
      <w:proofErr w:type="spellStart"/>
      <w:r w:rsidRPr="002D3B1E">
        <w:rPr>
          <w:rFonts w:ascii="Calibri" w:hAnsi="Calibri"/>
          <w:sz w:val="22"/>
          <w:szCs w:val="22"/>
        </w:rPr>
        <w:t>poder</w:t>
      </w:r>
      <w:proofErr w:type="spellEnd"/>
      <w:r w:rsidRPr="002D3B1E">
        <w:rPr>
          <w:rFonts w:ascii="Calibri" w:hAnsi="Calibri"/>
          <w:sz w:val="22"/>
          <w:szCs w:val="22"/>
        </w:rPr>
        <w:t xml:space="preserve"> cultivar.</w:t>
      </w:r>
      <w:r w:rsidRPr="002D3B1E">
        <w:rPr>
          <w:rFonts w:ascii="MS Mincho" w:eastAsia="MS Mincho" w:hAnsi="MS Mincho" w:cs="MS Mincho"/>
          <w:sz w:val="22"/>
          <w:szCs w:val="22"/>
        </w:rPr>
        <w:t> </w:t>
      </w:r>
      <w:r w:rsidRPr="002D3B1E">
        <w:rPr>
          <w:rFonts w:ascii="Calibri" w:hAnsi="Calibri"/>
          <w:sz w:val="22"/>
          <w:szCs w:val="22"/>
        </w:rPr>
        <w:t xml:space="preserve">Because mosquitos live in wetlands, it would be better to drain the land </w:t>
      </w:r>
      <w:r w:rsidRPr="002D3B1E">
        <w:rPr>
          <w:rFonts w:ascii="MS Mincho" w:eastAsia="MS Mincho" w:hAnsi="MS Mincho" w:cs="MS Mincho"/>
          <w:sz w:val="22"/>
          <w:szCs w:val="22"/>
        </w:rPr>
        <w:t> </w:t>
      </w:r>
      <w:r w:rsidRPr="002D3B1E">
        <w:rPr>
          <w:rFonts w:ascii="Calibri" w:hAnsi="Calibri"/>
          <w:sz w:val="22"/>
          <w:szCs w:val="22"/>
        </w:rPr>
        <w:t xml:space="preserve">for farming. </w:t>
      </w:r>
      <w:r w:rsidRPr="002D3B1E">
        <w:rPr>
          <w:rFonts w:ascii="MS Mincho" w:eastAsia="MS Mincho" w:hAnsi="MS Mincho" w:cs="MS Mincho"/>
          <w:sz w:val="22"/>
          <w:szCs w:val="22"/>
        </w:rPr>
        <w:t> </w:t>
      </w:r>
    </w:p>
    <w:p w14:paraId="72D06993" w14:textId="48B53D8A" w:rsidR="008841CF" w:rsidRPr="002D3B1E" w:rsidRDefault="008841CF" w:rsidP="008841CF">
      <w:pPr>
        <w:pStyle w:val="ListParagraph"/>
        <w:numPr>
          <w:ilvl w:val="0"/>
          <w:numId w:val="3"/>
        </w:numPr>
        <w:rPr>
          <w:rFonts w:ascii="Calibri" w:hAnsi="Calibri"/>
          <w:sz w:val="22"/>
          <w:szCs w:val="22"/>
        </w:rPr>
      </w:pPr>
      <w:r w:rsidRPr="002D3B1E">
        <w:rPr>
          <w:rFonts w:ascii="Calibri" w:hAnsi="Calibri"/>
          <w:sz w:val="22"/>
          <w:szCs w:val="22"/>
        </w:rPr>
        <w:t xml:space="preserve">Me </w:t>
      </w:r>
      <w:proofErr w:type="spellStart"/>
      <w:r w:rsidRPr="002D3B1E">
        <w:rPr>
          <w:rFonts w:ascii="Calibri" w:hAnsi="Calibri"/>
          <w:sz w:val="22"/>
          <w:szCs w:val="22"/>
        </w:rPr>
        <w:t>gusta</w:t>
      </w:r>
      <w:proofErr w:type="spellEnd"/>
      <w:r w:rsidRPr="002D3B1E">
        <w:rPr>
          <w:rFonts w:ascii="Calibri" w:hAnsi="Calibri"/>
          <w:sz w:val="22"/>
          <w:szCs w:val="22"/>
        </w:rPr>
        <w:t xml:space="preserve"> </w:t>
      </w:r>
      <w:proofErr w:type="spellStart"/>
      <w:r w:rsidRPr="002D3B1E">
        <w:rPr>
          <w:rFonts w:ascii="Calibri" w:hAnsi="Calibri"/>
          <w:sz w:val="22"/>
          <w:szCs w:val="22"/>
        </w:rPr>
        <w:t>ir</w:t>
      </w:r>
      <w:proofErr w:type="spellEnd"/>
      <w:r w:rsidRPr="002D3B1E">
        <w:rPr>
          <w:rFonts w:ascii="Calibri" w:hAnsi="Calibri"/>
          <w:sz w:val="22"/>
          <w:szCs w:val="22"/>
        </w:rPr>
        <w:t xml:space="preserve"> de paseo a la </w:t>
      </w:r>
      <w:proofErr w:type="spellStart"/>
      <w:r w:rsidRPr="002D3B1E">
        <w:rPr>
          <w:rFonts w:ascii="Calibri" w:hAnsi="Calibri"/>
          <w:sz w:val="22"/>
          <w:szCs w:val="22"/>
        </w:rPr>
        <w:t>naturaleza</w:t>
      </w:r>
      <w:proofErr w:type="spellEnd"/>
      <w:r w:rsidRPr="002D3B1E">
        <w:rPr>
          <w:rFonts w:ascii="Calibri" w:hAnsi="Calibri"/>
          <w:sz w:val="22"/>
          <w:szCs w:val="22"/>
        </w:rPr>
        <w:t xml:space="preserve">, </w:t>
      </w:r>
      <w:proofErr w:type="spellStart"/>
      <w:r w:rsidRPr="002D3B1E">
        <w:rPr>
          <w:rFonts w:ascii="Calibri" w:hAnsi="Calibri"/>
          <w:sz w:val="22"/>
          <w:szCs w:val="22"/>
        </w:rPr>
        <w:t>por</w:t>
      </w:r>
      <w:proofErr w:type="spellEnd"/>
      <w:r w:rsidRPr="002D3B1E">
        <w:rPr>
          <w:rFonts w:ascii="Calibri" w:hAnsi="Calibri"/>
          <w:sz w:val="22"/>
          <w:szCs w:val="22"/>
        </w:rPr>
        <w:t xml:space="preserve"> </w:t>
      </w:r>
      <w:proofErr w:type="spellStart"/>
      <w:r w:rsidRPr="002D3B1E">
        <w:rPr>
          <w:rFonts w:ascii="Calibri" w:hAnsi="Calibri"/>
          <w:sz w:val="22"/>
          <w:szCs w:val="22"/>
        </w:rPr>
        <w:t>ejemplo</w:t>
      </w:r>
      <w:proofErr w:type="spellEnd"/>
      <w:r w:rsidRPr="002D3B1E">
        <w:rPr>
          <w:rFonts w:ascii="Calibri" w:hAnsi="Calibri"/>
          <w:sz w:val="22"/>
          <w:szCs w:val="22"/>
        </w:rPr>
        <w:t xml:space="preserve"> a la playa, las </w:t>
      </w:r>
      <w:proofErr w:type="spellStart"/>
      <w:r w:rsidRPr="002D3B1E">
        <w:rPr>
          <w:rFonts w:ascii="Calibri" w:hAnsi="Calibri"/>
          <w:sz w:val="22"/>
          <w:szCs w:val="22"/>
        </w:rPr>
        <w:t>montañas</w:t>
      </w:r>
      <w:proofErr w:type="spellEnd"/>
      <w:r w:rsidRPr="002D3B1E">
        <w:rPr>
          <w:rFonts w:ascii="Calibri" w:hAnsi="Calibri"/>
          <w:sz w:val="22"/>
          <w:szCs w:val="22"/>
        </w:rPr>
        <w:t xml:space="preserve"> </w:t>
      </w:r>
      <w:r w:rsidRPr="002D3B1E">
        <w:rPr>
          <w:rFonts w:ascii="MS Mincho" w:eastAsia="MS Mincho" w:hAnsi="MS Mincho" w:cs="MS Mincho"/>
          <w:sz w:val="22"/>
          <w:szCs w:val="22"/>
        </w:rPr>
        <w:t> </w:t>
      </w:r>
      <w:r w:rsidRPr="002D3B1E">
        <w:rPr>
          <w:rFonts w:ascii="Calibri" w:hAnsi="Calibri"/>
          <w:sz w:val="22"/>
          <w:szCs w:val="22"/>
        </w:rPr>
        <w:t xml:space="preserve">o el </w:t>
      </w:r>
      <w:proofErr w:type="spellStart"/>
      <w:r w:rsidRPr="002D3B1E">
        <w:rPr>
          <w:rFonts w:ascii="Calibri" w:hAnsi="Calibri"/>
          <w:sz w:val="22"/>
          <w:szCs w:val="22"/>
        </w:rPr>
        <w:t>desierto</w:t>
      </w:r>
      <w:proofErr w:type="spellEnd"/>
      <w:r w:rsidRPr="002D3B1E">
        <w:rPr>
          <w:rFonts w:ascii="Calibri" w:hAnsi="Calibri"/>
          <w:sz w:val="22"/>
          <w:szCs w:val="22"/>
        </w:rPr>
        <w:t>.</w:t>
      </w:r>
      <w:r w:rsidRPr="002D3B1E">
        <w:rPr>
          <w:rFonts w:ascii="MS Mincho" w:eastAsia="MS Mincho" w:hAnsi="MS Mincho" w:cs="MS Mincho"/>
          <w:sz w:val="22"/>
          <w:szCs w:val="22"/>
        </w:rPr>
        <w:t> </w:t>
      </w:r>
      <w:r w:rsidRPr="002D3B1E">
        <w:rPr>
          <w:rFonts w:ascii="Calibri" w:hAnsi="Calibri"/>
          <w:sz w:val="22"/>
          <w:szCs w:val="22"/>
        </w:rPr>
        <w:t xml:space="preserve">I like to go on trips to nature, for example to the beach, the mountains </w:t>
      </w:r>
      <w:r w:rsidRPr="002D3B1E">
        <w:rPr>
          <w:rFonts w:ascii="MS Mincho" w:eastAsia="MS Mincho" w:hAnsi="MS Mincho" w:cs="MS Mincho"/>
          <w:sz w:val="22"/>
          <w:szCs w:val="22"/>
        </w:rPr>
        <w:t> </w:t>
      </w:r>
      <w:r w:rsidRPr="002D3B1E">
        <w:rPr>
          <w:rFonts w:ascii="Calibri" w:hAnsi="Calibri"/>
          <w:sz w:val="22"/>
          <w:szCs w:val="22"/>
        </w:rPr>
        <w:t xml:space="preserve">or the desert. </w:t>
      </w:r>
      <w:r w:rsidRPr="002D3B1E">
        <w:rPr>
          <w:rFonts w:ascii="MS Mincho" w:eastAsia="MS Mincho" w:hAnsi="MS Mincho" w:cs="MS Mincho"/>
          <w:sz w:val="22"/>
          <w:szCs w:val="22"/>
        </w:rPr>
        <w:t> </w:t>
      </w:r>
    </w:p>
    <w:p w14:paraId="310BEB8F" w14:textId="77777777" w:rsidR="002D3B1E" w:rsidRPr="002D3B1E" w:rsidRDefault="002D3B1E" w:rsidP="002D3B1E">
      <w:pPr>
        <w:pStyle w:val="ListParagraph"/>
        <w:rPr>
          <w:rFonts w:ascii="Calibri" w:hAnsi="Calibri"/>
          <w:sz w:val="22"/>
          <w:szCs w:val="22"/>
        </w:rPr>
      </w:pPr>
    </w:p>
    <w:p w14:paraId="406F1813" w14:textId="77777777" w:rsidR="008841CF" w:rsidRPr="002D3B1E" w:rsidRDefault="008841CF" w:rsidP="008841CF">
      <w:pPr>
        <w:rPr>
          <w:rFonts w:ascii="Calibri" w:hAnsi="Calibri"/>
          <w:sz w:val="22"/>
          <w:szCs w:val="22"/>
        </w:rPr>
      </w:pPr>
      <w:r w:rsidRPr="002D3B1E">
        <w:rPr>
          <w:rFonts w:ascii="Calibri" w:hAnsi="Calibri"/>
          <w:sz w:val="22"/>
          <w:szCs w:val="22"/>
        </w:rPr>
        <w:t xml:space="preserve">Note: Items 1, 3, 11, and 12 (in italics) were dropped from the final scale. </w:t>
      </w:r>
    </w:p>
    <w:p w14:paraId="2E820B30" w14:textId="77777777" w:rsidR="008841CF" w:rsidRPr="008841CF" w:rsidRDefault="008841CF" w:rsidP="008841CF">
      <w:pPr>
        <w:pStyle w:val="ListParagraph"/>
        <w:rPr>
          <w:rFonts w:ascii="Calibri" w:hAnsi="Calibri"/>
        </w:rPr>
      </w:pPr>
    </w:p>
    <w:p w14:paraId="4FE0D90C" w14:textId="77777777" w:rsidR="00B63B25" w:rsidRDefault="00B63B25">
      <w:pPr>
        <w:rPr>
          <w:rFonts w:ascii="Calibri" w:hAnsi="Calibri"/>
          <w:lang w:val="en-GB"/>
        </w:rPr>
      </w:pPr>
    </w:p>
    <w:p w14:paraId="05A43B8D" w14:textId="77777777" w:rsidR="00287308" w:rsidRPr="00287308" w:rsidRDefault="00287308" w:rsidP="006D59AA">
      <w:pPr>
        <w:shd w:val="clear" w:color="auto" w:fill="FFF2CC" w:themeFill="accent4" w:themeFillTint="33"/>
        <w:rPr>
          <w:b/>
        </w:rPr>
      </w:pPr>
      <w:proofErr w:type="spellStart"/>
      <w:r w:rsidRPr="00287308">
        <w:rPr>
          <w:b/>
        </w:rPr>
        <w:t>Hunn</w:t>
      </w:r>
      <w:proofErr w:type="spellEnd"/>
      <w:r w:rsidRPr="00287308">
        <w:rPr>
          <w:b/>
        </w:rPr>
        <w:t>, E. S. (2002) Evidence for the Precocious Acquisition of Plant Knowledge by Zapotec Children, Ethnobiology and Biocultural Diversity, 604, p. 13.</w:t>
      </w:r>
    </w:p>
    <w:p w14:paraId="2E80519F" w14:textId="64D7DE38" w:rsidR="002A35EC" w:rsidRDefault="004B3E14" w:rsidP="006D59AA">
      <w:pPr>
        <w:shd w:val="clear" w:color="auto" w:fill="FFF2CC" w:themeFill="accent4" w:themeFillTint="33"/>
        <w:rPr>
          <w:rFonts w:ascii="Calibri" w:hAnsi="Calibri"/>
          <w:lang w:val="en-GB"/>
        </w:rPr>
      </w:pPr>
      <w:hyperlink r:id="rId131" w:history="1">
        <w:r w:rsidR="006D59AA" w:rsidRPr="00881B2C">
          <w:rPr>
            <w:rStyle w:val="Hyperlink"/>
            <w:rFonts w:ascii="Calibri" w:hAnsi="Calibri"/>
            <w:lang w:val="en-GB"/>
          </w:rPr>
          <w:t>http://qualquant.org/wp-content/uploads/ethnoecology/Hunn%202002.pdf</w:t>
        </w:r>
      </w:hyperlink>
    </w:p>
    <w:p w14:paraId="40F9F024" w14:textId="77777777" w:rsidR="006D59AA" w:rsidRDefault="006D59AA">
      <w:pPr>
        <w:rPr>
          <w:rFonts w:ascii="Calibri" w:hAnsi="Calibri"/>
          <w:lang w:val="en-GB"/>
        </w:rPr>
      </w:pPr>
    </w:p>
    <w:p w14:paraId="7B22DE6A" w14:textId="273328BA" w:rsidR="00557734" w:rsidRPr="00127324" w:rsidRDefault="00557734" w:rsidP="00557734">
      <w:pPr>
        <w:rPr>
          <w:rFonts w:ascii="Calibri" w:hAnsi="Calibri"/>
          <w:sz w:val="22"/>
        </w:rPr>
      </w:pPr>
      <w:r w:rsidRPr="00127324">
        <w:rPr>
          <w:rFonts w:ascii="Calibri" w:hAnsi="Calibri"/>
          <w:sz w:val="22"/>
          <w:lang w:val="en-GB"/>
        </w:rPr>
        <w:t>“</w:t>
      </w:r>
      <w:r w:rsidRPr="00127324">
        <w:rPr>
          <w:rFonts w:ascii="Calibri" w:hAnsi="Calibri"/>
          <w:sz w:val="22"/>
        </w:rPr>
        <w:t xml:space="preserve">I will consider evidence that children in subsistence-dependent indigenous communities master </w:t>
      </w:r>
      <w:r w:rsidRPr="00127324">
        <w:rPr>
          <w:rFonts w:ascii="Calibri" w:hAnsi="Calibri"/>
          <w:sz w:val="22"/>
          <w:u w:val="single"/>
        </w:rPr>
        <w:t>great quantities of empirical knowledge about their local natural environment before 12 years of age without the benefit of formal instruction</w:t>
      </w:r>
      <w:r w:rsidRPr="00127324">
        <w:rPr>
          <w:rFonts w:ascii="Calibri" w:hAnsi="Calibri"/>
          <w:sz w:val="22"/>
        </w:rPr>
        <w:t xml:space="preserve"> (</w:t>
      </w:r>
      <w:proofErr w:type="spellStart"/>
      <w:r w:rsidRPr="00127324">
        <w:rPr>
          <w:rFonts w:ascii="Calibri" w:hAnsi="Calibri"/>
          <w:sz w:val="22"/>
        </w:rPr>
        <w:t>Stross</w:t>
      </w:r>
      <w:proofErr w:type="spellEnd"/>
      <w:r w:rsidRPr="00127324">
        <w:rPr>
          <w:rFonts w:ascii="Calibri" w:hAnsi="Calibri"/>
          <w:sz w:val="22"/>
        </w:rPr>
        <w:t xml:space="preserve"> 1973). By comparison, most urban American adults are profoundly ignorant of their local floral and faunal environment (Dougherty 1979). The results of studies of ethnobotanical vocabulary acquisition by American and Tzeltal Mayan children is summarized in Table 1. </w:t>
      </w:r>
      <w:r w:rsidR="00127324">
        <w:rPr>
          <w:rFonts w:ascii="Calibri" w:hAnsi="Calibri"/>
          <w:sz w:val="22"/>
        </w:rPr>
        <w:t xml:space="preserve"> </w:t>
      </w:r>
      <w:r w:rsidRPr="00127324">
        <w:rPr>
          <w:rFonts w:ascii="Calibri" w:hAnsi="Calibri"/>
          <w:sz w:val="22"/>
        </w:rPr>
        <w:t>If this were simply a matter of children learning what they are taught it would be of limited significance. However, if acquisition of environmental knowledge is like first language learning, “acquisition deprivation” at a critical age may be lasting.”</w:t>
      </w:r>
    </w:p>
    <w:p w14:paraId="58D3DDB9" w14:textId="70CE0DAD" w:rsidR="00557734" w:rsidRDefault="00557734">
      <w:pPr>
        <w:rPr>
          <w:rFonts w:ascii="Calibri" w:hAnsi="Calibri"/>
          <w:lang w:val="en-GB"/>
        </w:rPr>
      </w:pPr>
    </w:p>
    <w:p w14:paraId="24566B75" w14:textId="0C89941F" w:rsidR="002A35EC" w:rsidRPr="00787D7C" w:rsidRDefault="002A35EC">
      <w:pPr>
        <w:rPr>
          <w:rFonts w:ascii="Calibri" w:hAnsi="Calibri"/>
          <w:lang w:val="en-GB"/>
        </w:rPr>
      </w:pPr>
      <w:r w:rsidRPr="002A35EC">
        <w:rPr>
          <w:rFonts w:ascii="Calibri" w:hAnsi="Calibri"/>
          <w:noProof/>
        </w:rPr>
        <w:lastRenderedPageBreak/>
        <w:drawing>
          <wp:inline distT="0" distB="0" distL="0" distR="0" wp14:anchorId="15042535" wp14:editId="7E7D8AE0">
            <wp:extent cx="4051935" cy="3429320"/>
            <wp:effectExtent l="25400" t="25400" r="37465" b="254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2"/>
                    <a:stretch>
                      <a:fillRect/>
                    </a:stretch>
                  </pic:blipFill>
                  <pic:spPr>
                    <a:xfrm>
                      <a:off x="0" y="0"/>
                      <a:ext cx="4069990" cy="3444600"/>
                    </a:xfrm>
                    <a:prstGeom prst="rect">
                      <a:avLst/>
                    </a:prstGeom>
                    <a:ln>
                      <a:solidFill>
                        <a:schemeClr val="tx1"/>
                      </a:solidFill>
                    </a:ln>
                  </pic:spPr>
                </pic:pic>
              </a:graphicData>
            </a:graphic>
          </wp:inline>
        </w:drawing>
      </w:r>
    </w:p>
    <w:sectPr w:rsidR="002A35EC" w:rsidRPr="00787D7C" w:rsidSect="00D1714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0C73657"/>
    <w:multiLevelType w:val="hybridMultilevel"/>
    <w:tmpl w:val="C90EB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138179C"/>
    <w:multiLevelType w:val="hybridMultilevel"/>
    <w:tmpl w:val="E710D40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890"/>
    <w:rsid w:val="00051D89"/>
    <w:rsid w:val="00095DA0"/>
    <w:rsid w:val="00127324"/>
    <w:rsid w:val="00134C0D"/>
    <w:rsid w:val="00277011"/>
    <w:rsid w:val="00287308"/>
    <w:rsid w:val="002A35EC"/>
    <w:rsid w:val="002C6313"/>
    <w:rsid w:val="002D3B1E"/>
    <w:rsid w:val="00314055"/>
    <w:rsid w:val="003F3E41"/>
    <w:rsid w:val="00433A46"/>
    <w:rsid w:val="004558BB"/>
    <w:rsid w:val="004B39CD"/>
    <w:rsid w:val="004B3E14"/>
    <w:rsid w:val="00557734"/>
    <w:rsid w:val="00595284"/>
    <w:rsid w:val="005B5B4C"/>
    <w:rsid w:val="005D20ED"/>
    <w:rsid w:val="00681D63"/>
    <w:rsid w:val="00687F91"/>
    <w:rsid w:val="006928A1"/>
    <w:rsid w:val="006D59AA"/>
    <w:rsid w:val="007664A3"/>
    <w:rsid w:val="00787D7C"/>
    <w:rsid w:val="007D16BF"/>
    <w:rsid w:val="008841CF"/>
    <w:rsid w:val="008F0CB2"/>
    <w:rsid w:val="00940266"/>
    <w:rsid w:val="009B2CAE"/>
    <w:rsid w:val="009B51FC"/>
    <w:rsid w:val="009D3738"/>
    <w:rsid w:val="00A110EE"/>
    <w:rsid w:val="00A22493"/>
    <w:rsid w:val="00B551DD"/>
    <w:rsid w:val="00B63B25"/>
    <w:rsid w:val="00BC5CB7"/>
    <w:rsid w:val="00BD2015"/>
    <w:rsid w:val="00BF0B80"/>
    <w:rsid w:val="00C006D0"/>
    <w:rsid w:val="00C62C20"/>
    <w:rsid w:val="00C71DC5"/>
    <w:rsid w:val="00CF52FF"/>
    <w:rsid w:val="00D17147"/>
    <w:rsid w:val="00D41AB9"/>
    <w:rsid w:val="00D723A8"/>
    <w:rsid w:val="00D74E61"/>
    <w:rsid w:val="00DF5BB5"/>
    <w:rsid w:val="00E12276"/>
    <w:rsid w:val="00E97A6E"/>
    <w:rsid w:val="00EC4890"/>
    <w:rsid w:val="00FC1975"/>
    <w:rsid w:val="00FE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FDDB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A35EC"/>
    <w:pPr>
      <w:keepNext/>
      <w:keepLines/>
      <w:shd w:val="clear" w:color="auto" w:fill="FFF2CC" w:themeFill="accent4" w:themeFillTint="33"/>
      <w:spacing w:before="240"/>
      <w:outlineLvl w:val="0"/>
    </w:pPr>
    <w:rPr>
      <w:rFonts w:asciiTheme="majorHAnsi" w:eastAsiaTheme="majorEastAsia" w:hAnsiTheme="majorHAnsi" w:cstheme="majorBidi"/>
      <w:b/>
      <w:color w:val="000000" w:themeColor="text1"/>
      <w:sz w:val="32"/>
      <w:szCs w:val="32"/>
      <w:lang w:val="en-GB"/>
    </w:rPr>
  </w:style>
  <w:style w:type="paragraph" w:styleId="Heading3">
    <w:name w:val="heading 3"/>
    <w:basedOn w:val="Normal"/>
    <w:next w:val="Normal"/>
    <w:link w:val="Heading3Char"/>
    <w:uiPriority w:val="9"/>
    <w:semiHidden/>
    <w:unhideWhenUsed/>
    <w:qFormat/>
    <w:rsid w:val="00687F9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0608"/>
    <w:rPr>
      <w:color w:val="0563C1" w:themeColor="hyperlink"/>
      <w:u w:val="single"/>
    </w:rPr>
  </w:style>
  <w:style w:type="character" w:styleId="Emphasis">
    <w:name w:val="Emphasis"/>
    <w:basedOn w:val="DefaultParagraphFont"/>
    <w:uiPriority w:val="20"/>
    <w:qFormat/>
    <w:rsid w:val="00FE0608"/>
    <w:rPr>
      <w:i/>
      <w:iCs/>
    </w:rPr>
  </w:style>
  <w:style w:type="character" w:customStyle="1" w:styleId="Heading1Char">
    <w:name w:val="Heading 1 Char"/>
    <w:basedOn w:val="DefaultParagraphFont"/>
    <w:link w:val="Heading1"/>
    <w:uiPriority w:val="9"/>
    <w:rsid w:val="002A35EC"/>
    <w:rPr>
      <w:rFonts w:asciiTheme="majorHAnsi" w:eastAsiaTheme="majorEastAsia" w:hAnsiTheme="majorHAnsi" w:cstheme="majorBidi"/>
      <w:b/>
      <w:color w:val="000000" w:themeColor="text1"/>
      <w:sz w:val="32"/>
      <w:szCs w:val="32"/>
      <w:shd w:val="clear" w:color="auto" w:fill="FFF2CC" w:themeFill="accent4" w:themeFillTint="33"/>
      <w:lang w:val="en-GB"/>
    </w:rPr>
  </w:style>
  <w:style w:type="paragraph" w:styleId="DocumentMap">
    <w:name w:val="Document Map"/>
    <w:basedOn w:val="Normal"/>
    <w:link w:val="DocumentMapChar"/>
    <w:uiPriority w:val="99"/>
    <w:semiHidden/>
    <w:unhideWhenUsed/>
    <w:rsid w:val="002A35EC"/>
    <w:rPr>
      <w:rFonts w:ascii="Times New Roman" w:hAnsi="Times New Roman" w:cs="Times New Roman"/>
    </w:rPr>
  </w:style>
  <w:style w:type="character" w:customStyle="1" w:styleId="DocumentMapChar">
    <w:name w:val="Document Map Char"/>
    <w:basedOn w:val="DefaultParagraphFont"/>
    <w:link w:val="DocumentMap"/>
    <w:uiPriority w:val="99"/>
    <w:semiHidden/>
    <w:rsid w:val="002A35EC"/>
    <w:rPr>
      <w:rFonts w:ascii="Times New Roman" w:hAnsi="Times New Roman" w:cs="Times New Roman"/>
    </w:rPr>
  </w:style>
  <w:style w:type="character" w:styleId="FollowedHyperlink">
    <w:name w:val="FollowedHyperlink"/>
    <w:basedOn w:val="DefaultParagraphFont"/>
    <w:uiPriority w:val="99"/>
    <w:semiHidden/>
    <w:unhideWhenUsed/>
    <w:rsid w:val="008F0CB2"/>
    <w:rPr>
      <w:color w:val="954F72" w:themeColor="followedHyperlink"/>
      <w:u w:val="single"/>
    </w:rPr>
  </w:style>
  <w:style w:type="paragraph" w:styleId="ListParagraph">
    <w:name w:val="List Paragraph"/>
    <w:basedOn w:val="Normal"/>
    <w:uiPriority w:val="34"/>
    <w:qFormat/>
    <w:rsid w:val="008841CF"/>
    <w:pPr>
      <w:ind w:left="720"/>
      <w:contextualSpacing/>
    </w:pPr>
  </w:style>
  <w:style w:type="character" w:customStyle="1" w:styleId="Heading3Char">
    <w:name w:val="Heading 3 Char"/>
    <w:basedOn w:val="DefaultParagraphFont"/>
    <w:link w:val="Heading3"/>
    <w:uiPriority w:val="9"/>
    <w:semiHidden/>
    <w:rsid w:val="00687F91"/>
    <w:rPr>
      <w:rFonts w:asciiTheme="majorHAnsi" w:eastAsiaTheme="majorEastAsia" w:hAnsiTheme="majorHAnsi" w:cstheme="majorBidi"/>
      <w:color w:val="1F4D78" w:themeColor="accent1" w:themeShade="7F"/>
    </w:rPr>
  </w:style>
  <w:style w:type="character" w:customStyle="1" w:styleId="title1">
    <w:name w:val="title1"/>
    <w:basedOn w:val="DefaultParagraphFont"/>
    <w:rsid w:val="00687F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40436">
      <w:bodyDiv w:val="1"/>
      <w:marLeft w:val="0"/>
      <w:marRight w:val="0"/>
      <w:marTop w:val="0"/>
      <w:marBottom w:val="0"/>
      <w:divBdr>
        <w:top w:val="none" w:sz="0" w:space="0" w:color="auto"/>
        <w:left w:val="none" w:sz="0" w:space="0" w:color="auto"/>
        <w:bottom w:val="none" w:sz="0" w:space="0" w:color="auto"/>
        <w:right w:val="none" w:sz="0" w:space="0" w:color="auto"/>
      </w:divBdr>
    </w:div>
    <w:div w:id="60687534">
      <w:bodyDiv w:val="1"/>
      <w:marLeft w:val="0"/>
      <w:marRight w:val="0"/>
      <w:marTop w:val="0"/>
      <w:marBottom w:val="0"/>
      <w:divBdr>
        <w:top w:val="none" w:sz="0" w:space="0" w:color="auto"/>
        <w:left w:val="none" w:sz="0" w:space="0" w:color="auto"/>
        <w:bottom w:val="none" w:sz="0" w:space="0" w:color="auto"/>
        <w:right w:val="none" w:sz="0" w:space="0" w:color="auto"/>
      </w:divBdr>
      <w:divsChild>
        <w:div w:id="48111655">
          <w:marLeft w:val="0"/>
          <w:marRight w:val="0"/>
          <w:marTop w:val="0"/>
          <w:marBottom w:val="0"/>
          <w:divBdr>
            <w:top w:val="none" w:sz="0" w:space="0" w:color="auto"/>
            <w:left w:val="none" w:sz="0" w:space="0" w:color="auto"/>
            <w:bottom w:val="none" w:sz="0" w:space="0" w:color="auto"/>
            <w:right w:val="none" w:sz="0" w:space="0" w:color="auto"/>
          </w:divBdr>
          <w:divsChild>
            <w:div w:id="15673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80849">
      <w:bodyDiv w:val="1"/>
      <w:marLeft w:val="0"/>
      <w:marRight w:val="0"/>
      <w:marTop w:val="0"/>
      <w:marBottom w:val="0"/>
      <w:divBdr>
        <w:top w:val="none" w:sz="0" w:space="0" w:color="auto"/>
        <w:left w:val="none" w:sz="0" w:space="0" w:color="auto"/>
        <w:bottom w:val="none" w:sz="0" w:space="0" w:color="auto"/>
        <w:right w:val="none" w:sz="0" w:space="0" w:color="auto"/>
      </w:divBdr>
    </w:div>
    <w:div w:id="168913595">
      <w:bodyDiv w:val="1"/>
      <w:marLeft w:val="0"/>
      <w:marRight w:val="0"/>
      <w:marTop w:val="0"/>
      <w:marBottom w:val="0"/>
      <w:divBdr>
        <w:top w:val="none" w:sz="0" w:space="0" w:color="auto"/>
        <w:left w:val="none" w:sz="0" w:space="0" w:color="auto"/>
        <w:bottom w:val="none" w:sz="0" w:space="0" w:color="auto"/>
        <w:right w:val="none" w:sz="0" w:space="0" w:color="auto"/>
      </w:divBdr>
    </w:div>
    <w:div w:id="178274201">
      <w:bodyDiv w:val="1"/>
      <w:marLeft w:val="0"/>
      <w:marRight w:val="0"/>
      <w:marTop w:val="0"/>
      <w:marBottom w:val="0"/>
      <w:divBdr>
        <w:top w:val="none" w:sz="0" w:space="0" w:color="auto"/>
        <w:left w:val="none" w:sz="0" w:space="0" w:color="auto"/>
        <w:bottom w:val="none" w:sz="0" w:space="0" w:color="auto"/>
        <w:right w:val="none" w:sz="0" w:space="0" w:color="auto"/>
      </w:divBdr>
    </w:div>
    <w:div w:id="180360753">
      <w:bodyDiv w:val="1"/>
      <w:marLeft w:val="0"/>
      <w:marRight w:val="0"/>
      <w:marTop w:val="0"/>
      <w:marBottom w:val="0"/>
      <w:divBdr>
        <w:top w:val="none" w:sz="0" w:space="0" w:color="auto"/>
        <w:left w:val="none" w:sz="0" w:space="0" w:color="auto"/>
        <w:bottom w:val="none" w:sz="0" w:space="0" w:color="auto"/>
        <w:right w:val="none" w:sz="0" w:space="0" w:color="auto"/>
      </w:divBdr>
      <w:divsChild>
        <w:div w:id="2047607778">
          <w:marLeft w:val="0"/>
          <w:marRight w:val="0"/>
          <w:marTop w:val="0"/>
          <w:marBottom w:val="0"/>
          <w:divBdr>
            <w:top w:val="none" w:sz="0" w:space="0" w:color="auto"/>
            <w:left w:val="none" w:sz="0" w:space="0" w:color="auto"/>
            <w:bottom w:val="none" w:sz="0" w:space="0" w:color="auto"/>
            <w:right w:val="none" w:sz="0" w:space="0" w:color="auto"/>
          </w:divBdr>
          <w:divsChild>
            <w:div w:id="11671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949138">
      <w:bodyDiv w:val="1"/>
      <w:marLeft w:val="0"/>
      <w:marRight w:val="0"/>
      <w:marTop w:val="0"/>
      <w:marBottom w:val="0"/>
      <w:divBdr>
        <w:top w:val="none" w:sz="0" w:space="0" w:color="auto"/>
        <w:left w:val="none" w:sz="0" w:space="0" w:color="auto"/>
        <w:bottom w:val="none" w:sz="0" w:space="0" w:color="auto"/>
        <w:right w:val="none" w:sz="0" w:space="0" w:color="auto"/>
      </w:divBdr>
    </w:div>
    <w:div w:id="283997640">
      <w:bodyDiv w:val="1"/>
      <w:marLeft w:val="0"/>
      <w:marRight w:val="0"/>
      <w:marTop w:val="0"/>
      <w:marBottom w:val="0"/>
      <w:divBdr>
        <w:top w:val="none" w:sz="0" w:space="0" w:color="auto"/>
        <w:left w:val="none" w:sz="0" w:space="0" w:color="auto"/>
        <w:bottom w:val="none" w:sz="0" w:space="0" w:color="auto"/>
        <w:right w:val="none" w:sz="0" w:space="0" w:color="auto"/>
      </w:divBdr>
      <w:divsChild>
        <w:div w:id="574243024">
          <w:marLeft w:val="0"/>
          <w:marRight w:val="0"/>
          <w:marTop w:val="0"/>
          <w:marBottom w:val="0"/>
          <w:divBdr>
            <w:top w:val="none" w:sz="0" w:space="0" w:color="auto"/>
            <w:left w:val="none" w:sz="0" w:space="0" w:color="auto"/>
            <w:bottom w:val="none" w:sz="0" w:space="0" w:color="auto"/>
            <w:right w:val="none" w:sz="0" w:space="0" w:color="auto"/>
          </w:divBdr>
          <w:divsChild>
            <w:div w:id="20422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927821">
      <w:bodyDiv w:val="1"/>
      <w:marLeft w:val="0"/>
      <w:marRight w:val="0"/>
      <w:marTop w:val="0"/>
      <w:marBottom w:val="0"/>
      <w:divBdr>
        <w:top w:val="none" w:sz="0" w:space="0" w:color="auto"/>
        <w:left w:val="none" w:sz="0" w:space="0" w:color="auto"/>
        <w:bottom w:val="none" w:sz="0" w:space="0" w:color="auto"/>
        <w:right w:val="none" w:sz="0" w:space="0" w:color="auto"/>
      </w:divBdr>
    </w:div>
    <w:div w:id="373821193">
      <w:bodyDiv w:val="1"/>
      <w:marLeft w:val="0"/>
      <w:marRight w:val="0"/>
      <w:marTop w:val="0"/>
      <w:marBottom w:val="0"/>
      <w:divBdr>
        <w:top w:val="none" w:sz="0" w:space="0" w:color="auto"/>
        <w:left w:val="none" w:sz="0" w:space="0" w:color="auto"/>
        <w:bottom w:val="none" w:sz="0" w:space="0" w:color="auto"/>
        <w:right w:val="none" w:sz="0" w:space="0" w:color="auto"/>
      </w:divBdr>
    </w:div>
    <w:div w:id="409350418">
      <w:bodyDiv w:val="1"/>
      <w:marLeft w:val="0"/>
      <w:marRight w:val="0"/>
      <w:marTop w:val="0"/>
      <w:marBottom w:val="0"/>
      <w:divBdr>
        <w:top w:val="none" w:sz="0" w:space="0" w:color="auto"/>
        <w:left w:val="none" w:sz="0" w:space="0" w:color="auto"/>
        <w:bottom w:val="none" w:sz="0" w:space="0" w:color="auto"/>
        <w:right w:val="none" w:sz="0" w:space="0" w:color="auto"/>
      </w:divBdr>
    </w:div>
    <w:div w:id="409666146">
      <w:bodyDiv w:val="1"/>
      <w:marLeft w:val="0"/>
      <w:marRight w:val="0"/>
      <w:marTop w:val="0"/>
      <w:marBottom w:val="0"/>
      <w:divBdr>
        <w:top w:val="none" w:sz="0" w:space="0" w:color="auto"/>
        <w:left w:val="none" w:sz="0" w:space="0" w:color="auto"/>
        <w:bottom w:val="none" w:sz="0" w:space="0" w:color="auto"/>
        <w:right w:val="none" w:sz="0" w:space="0" w:color="auto"/>
      </w:divBdr>
      <w:divsChild>
        <w:div w:id="1549761569">
          <w:marLeft w:val="0"/>
          <w:marRight w:val="0"/>
          <w:marTop w:val="0"/>
          <w:marBottom w:val="0"/>
          <w:divBdr>
            <w:top w:val="none" w:sz="0" w:space="0" w:color="auto"/>
            <w:left w:val="none" w:sz="0" w:space="0" w:color="auto"/>
            <w:bottom w:val="none" w:sz="0" w:space="0" w:color="auto"/>
            <w:right w:val="none" w:sz="0" w:space="0" w:color="auto"/>
          </w:divBdr>
          <w:divsChild>
            <w:div w:id="178869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134">
      <w:bodyDiv w:val="1"/>
      <w:marLeft w:val="0"/>
      <w:marRight w:val="0"/>
      <w:marTop w:val="0"/>
      <w:marBottom w:val="0"/>
      <w:divBdr>
        <w:top w:val="none" w:sz="0" w:space="0" w:color="auto"/>
        <w:left w:val="none" w:sz="0" w:space="0" w:color="auto"/>
        <w:bottom w:val="none" w:sz="0" w:space="0" w:color="auto"/>
        <w:right w:val="none" w:sz="0" w:space="0" w:color="auto"/>
      </w:divBdr>
    </w:div>
    <w:div w:id="454907133">
      <w:bodyDiv w:val="1"/>
      <w:marLeft w:val="0"/>
      <w:marRight w:val="0"/>
      <w:marTop w:val="0"/>
      <w:marBottom w:val="0"/>
      <w:divBdr>
        <w:top w:val="none" w:sz="0" w:space="0" w:color="auto"/>
        <w:left w:val="none" w:sz="0" w:space="0" w:color="auto"/>
        <w:bottom w:val="none" w:sz="0" w:space="0" w:color="auto"/>
        <w:right w:val="none" w:sz="0" w:space="0" w:color="auto"/>
      </w:divBdr>
    </w:div>
    <w:div w:id="484666667">
      <w:bodyDiv w:val="1"/>
      <w:marLeft w:val="0"/>
      <w:marRight w:val="0"/>
      <w:marTop w:val="0"/>
      <w:marBottom w:val="0"/>
      <w:divBdr>
        <w:top w:val="none" w:sz="0" w:space="0" w:color="auto"/>
        <w:left w:val="none" w:sz="0" w:space="0" w:color="auto"/>
        <w:bottom w:val="none" w:sz="0" w:space="0" w:color="auto"/>
        <w:right w:val="none" w:sz="0" w:space="0" w:color="auto"/>
      </w:divBdr>
      <w:divsChild>
        <w:div w:id="1615288520">
          <w:marLeft w:val="0"/>
          <w:marRight w:val="0"/>
          <w:marTop w:val="0"/>
          <w:marBottom w:val="0"/>
          <w:divBdr>
            <w:top w:val="none" w:sz="0" w:space="0" w:color="auto"/>
            <w:left w:val="none" w:sz="0" w:space="0" w:color="auto"/>
            <w:bottom w:val="none" w:sz="0" w:space="0" w:color="auto"/>
            <w:right w:val="none" w:sz="0" w:space="0" w:color="auto"/>
          </w:divBdr>
        </w:div>
      </w:divsChild>
    </w:div>
    <w:div w:id="497572997">
      <w:bodyDiv w:val="1"/>
      <w:marLeft w:val="0"/>
      <w:marRight w:val="0"/>
      <w:marTop w:val="0"/>
      <w:marBottom w:val="0"/>
      <w:divBdr>
        <w:top w:val="none" w:sz="0" w:space="0" w:color="auto"/>
        <w:left w:val="none" w:sz="0" w:space="0" w:color="auto"/>
        <w:bottom w:val="none" w:sz="0" w:space="0" w:color="auto"/>
        <w:right w:val="none" w:sz="0" w:space="0" w:color="auto"/>
      </w:divBdr>
    </w:div>
    <w:div w:id="519709887">
      <w:bodyDiv w:val="1"/>
      <w:marLeft w:val="0"/>
      <w:marRight w:val="0"/>
      <w:marTop w:val="0"/>
      <w:marBottom w:val="0"/>
      <w:divBdr>
        <w:top w:val="none" w:sz="0" w:space="0" w:color="auto"/>
        <w:left w:val="none" w:sz="0" w:space="0" w:color="auto"/>
        <w:bottom w:val="none" w:sz="0" w:space="0" w:color="auto"/>
        <w:right w:val="none" w:sz="0" w:space="0" w:color="auto"/>
      </w:divBdr>
    </w:div>
    <w:div w:id="639383828">
      <w:bodyDiv w:val="1"/>
      <w:marLeft w:val="0"/>
      <w:marRight w:val="0"/>
      <w:marTop w:val="0"/>
      <w:marBottom w:val="0"/>
      <w:divBdr>
        <w:top w:val="none" w:sz="0" w:space="0" w:color="auto"/>
        <w:left w:val="none" w:sz="0" w:space="0" w:color="auto"/>
        <w:bottom w:val="none" w:sz="0" w:space="0" w:color="auto"/>
        <w:right w:val="none" w:sz="0" w:space="0" w:color="auto"/>
      </w:divBdr>
    </w:div>
    <w:div w:id="715474700">
      <w:bodyDiv w:val="1"/>
      <w:marLeft w:val="0"/>
      <w:marRight w:val="0"/>
      <w:marTop w:val="0"/>
      <w:marBottom w:val="0"/>
      <w:divBdr>
        <w:top w:val="none" w:sz="0" w:space="0" w:color="auto"/>
        <w:left w:val="none" w:sz="0" w:space="0" w:color="auto"/>
        <w:bottom w:val="none" w:sz="0" w:space="0" w:color="auto"/>
        <w:right w:val="none" w:sz="0" w:space="0" w:color="auto"/>
      </w:divBdr>
      <w:divsChild>
        <w:div w:id="1537348380">
          <w:marLeft w:val="0"/>
          <w:marRight w:val="0"/>
          <w:marTop w:val="0"/>
          <w:marBottom w:val="0"/>
          <w:divBdr>
            <w:top w:val="none" w:sz="0" w:space="0" w:color="auto"/>
            <w:left w:val="none" w:sz="0" w:space="0" w:color="auto"/>
            <w:bottom w:val="none" w:sz="0" w:space="0" w:color="auto"/>
            <w:right w:val="none" w:sz="0" w:space="0" w:color="auto"/>
          </w:divBdr>
        </w:div>
      </w:divsChild>
    </w:div>
    <w:div w:id="735782733">
      <w:bodyDiv w:val="1"/>
      <w:marLeft w:val="0"/>
      <w:marRight w:val="0"/>
      <w:marTop w:val="0"/>
      <w:marBottom w:val="0"/>
      <w:divBdr>
        <w:top w:val="none" w:sz="0" w:space="0" w:color="auto"/>
        <w:left w:val="none" w:sz="0" w:space="0" w:color="auto"/>
        <w:bottom w:val="none" w:sz="0" w:space="0" w:color="auto"/>
        <w:right w:val="none" w:sz="0" w:space="0" w:color="auto"/>
      </w:divBdr>
    </w:div>
    <w:div w:id="737362514">
      <w:bodyDiv w:val="1"/>
      <w:marLeft w:val="0"/>
      <w:marRight w:val="0"/>
      <w:marTop w:val="0"/>
      <w:marBottom w:val="0"/>
      <w:divBdr>
        <w:top w:val="none" w:sz="0" w:space="0" w:color="auto"/>
        <w:left w:val="none" w:sz="0" w:space="0" w:color="auto"/>
        <w:bottom w:val="none" w:sz="0" w:space="0" w:color="auto"/>
        <w:right w:val="none" w:sz="0" w:space="0" w:color="auto"/>
      </w:divBdr>
      <w:divsChild>
        <w:div w:id="257561976">
          <w:marLeft w:val="0"/>
          <w:marRight w:val="0"/>
          <w:marTop w:val="0"/>
          <w:marBottom w:val="0"/>
          <w:divBdr>
            <w:top w:val="none" w:sz="0" w:space="0" w:color="auto"/>
            <w:left w:val="none" w:sz="0" w:space="0" w:color="auto"/>
            <w:bottom w:val="none" w:sz="0" w:space="0" w:color="auto"/>
            <w:right w:val="none" w:sz="0" w:space="0" w:color="auto"/>
          </w:divBdr>
        </w:div>
      </w:divsChild>
    </w:div>
    <w:div w:id="754320906">
      <w:bodyDiv w:val="1"/>
      <w:marLeft w:val="0"/>
      <w:marRight w:val="0"/>
      <w:marTop w:val="0"/>
      <w:marBottom w:val="0"/>
      <w:divBdr>
        <w:top w:val="none" w:sz="0" w:space="0" w:color="auto"/>
        <w:left w:val="none" w:sz="0" w:space="0" w:color="auto"/>
        <w:bottom w:val="none" w:sz="0" w:space="0" w:color="auto"/>
        <w:right w:val="none" w:sz="0" w:space="0" w:color="auto"/>
      </w:divBdr>
      <w:divsChild>
        <w:div w:id="997195939">
          <w:marLeft w:val="0"/>
          <w:marRight w:val="0"/>
          <w:marTop w:val="0"/>
          <w:marBottom w:val="0"/>
          <w:divBdr>
            <w:top w:val="none" w:sz="0" w:space="0" w:color="auto"/>
            <w:left w:val="none" w:sz="0" w:space="0" w:color="auto"/>
            <w:bottom w:val="none" w:sz="0" w:space="0" w:color="auto"/>
            <w:right w:val="none" w:sz="0" w:space="0" w:color="auto"/>
          </w:divBdr>
        </w:div>
        <w:div w:id="2041856252">
          <w:marLeft w:val="0"/>
          <w:marRight w:val="0"/>
          <w:marTop w:val="0"/>
          <w:marBottom w:val="0"/>
          <w:divBdr>
            <w:top w:val="none" w:sz="0" w:space="0" w:color="auto"/>
            <w:left w:val="none" w:sz="0" w:space="0" w:color="auto"/>
            <w:bottom w:val="none" w:sz="0" w:space="0" w:color="auto"/>
            <w:right w:val="none" w:sz="0" w:space="0" w:color="auto"/>
          </w:divBdr>
        </w:div>
      </w:divsChild>
    </w:div>
    <w:div w:id="758334657">
      <w:bodyDiv w:val="1"/>
      <w:marLeft w:val="0"/>
      <w:marRight w:val="0"/>
      <w:marTop w:val="0"/>
      <w:marBottom w:val="0"/>
      <w:divBdr>
        <w:top w:val="none" w:sz="0" w:space="0" w:color="auto"/>
        <w:left w:val="none" w:sz="0" w:space="0" w:color="auto"/>
        <w:bottom w:val="none" w:sz="0" w:space="0" w:color="auto"/>
        <w:right w:val="none" w:sz="0" w:space="0" w:color="auto"/>
      </w:divBdr>
    </w:div>
    <w:div w:id="764766673">
      <w:bodyDiv w:val="1"/>
      <w:marLeft w:val="0"/>
      <w:marRight w:val="0"/>
      <w:marTop w:val="0"/>
      <w:marBottom w:val="0"/>
      <w:divBdr>
        <w:top w:val="none" w:sz="0" w:space="0" w:color="auto"/>
        <w:left w:val="none" w:sz="0" w:space="0" w:color="auto"/>
        <w:bottom w:val="none" w:sz="0" w:space="0" w:color="auto"/>
        <w:right w:val="none" w:sz="0" w:space="0" w:color="auto"/>
      </w:divBdr>
      <w:divsChild>
        <w:div w:id="863638727">
          <w:marLeft w:val="0"/>
          <w:marRight w:val="0"/>
          <w:marTop w:val="0"/>
          <w:marBottom w:val="0"/>
          <w:divBdr>
            <w:top w:val="none" w:sz="0" w:space="0" w:color="auto"/>
            <w:left w:val="none" w:sz="0" w:space="0" w:color="auto"/>
            <w:bottom w:val="none" w:sz="0" w:space="0" w:color="auto"/>
            <w:right w:val="none" w:sz="0" w:space="0" w:color="auto"/>
          </w:divBdr>
          <w:divsChild>
            <w:div w:id="997685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22380">
      <w:bodyDiv w:val="1"/>
      <w:marLeft w:val="0"/>
      <w:marRight w:val="0"/>
      <w:marTop w:val="0"/>
      <w:marBottom w:val="0"/>
      <w:divBdr>
        <w:top w:val="none" w:sz="0" w:space="0" w:color="auto"/>
        <w:left w:val="none" w:sz="0" w:space="0" w:color="auto"/>
        <w:bottom w:val="none" w:sz="0" w:space="0" w:color="auto"/>
        <w:right w:val="none" w:sz="0" w:space="0" w:color="auto"/>
      </w:divBdr>
      <w:divsChild>
        <w:div w:id="1516766830">
          <w:marLeft w:val="0"/>
          <w:marRight w:val="0"/>
          <w:marTop w:val="0"/>
          <w:marBottom w:val="0"/>
          <w:divBdr>
            <w:top w:val="none" w:sz="0" w:space="0" w:color="auto"/>
            <w:left w:val="none" w:sz="0" w:space="0" w:color="auto"/>
            <w:bottom w:val="none" w:sz="0" w:space="0" w:color="auto"/>
            <w:right w:val="none" w:sz="0" w:space="0" w:color="auto"/>
          </w:divBdr>
          <w:divsChild>
            <w:div w:id="9714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70101">
      <w:bodyDiv w:val="1"/>
      <w:marLeft w:val="0"/>
      <w:marRight w:val="0"/>
      <w:marTop w:val="0"/>
      <w:marBottom w:val="0"/>
      <w:divBdr>
        <w:top w:val="none" w:sz="0" w:space="0" w:color="auto"/>
        <w:left w:val="none" w:sz="0" w:space="0" w:color="auto"/>
        <w:bottom w:val="none" w:sz="0" w:space="0" w:color="auto"/>
        <w:right w:val="none" w:sz="0" w:space="0" w:color="auto"/>
      </w:divBdr>
      <w:divsChild>
        <w:div w:id="746420173">
          <w:marLeft w:val="0"/>
          <w:marRight w:val="0"/>
          <w:marTop w:val="0"/>
          <w:marBottom w:val="0"/>
          <w:divBdr>
            <w:top w:val="none" w:sz="0" w:space="0" w:color="auto"/>
            <w:left w:val="none" w:sz="0" w:space="0" w:color="auto"/>
            <w:bottom w:val="none" w:sz="0" w:space="0" w:color="auto"/>
            <w:right w:val="none" w:sz="0" w:space="0" w:color="auto"/>
          </w:divBdr>
        </w:div>
        <w:div w:id="228926851">
          <w:marLeft w:val="0"/>
          <w:marRight w:val="0"/>
          <w:marTop w:val="0"/>
          <w:marBottom w:val="0"/>
          <w:divBdr>
            <w:top w:val="none" w:sz="0" w:space="0" w:color="auto"/>
            <w:left w:val="none" w:sz="0" w:space="0" w:color="auto"/>
            <w:bottom w:val="none" w:sz="0" w:space="0" w:color="auto"/>
            <w:right w:val="none" w:sz="0" w:space="0" w:color="auto"/>
          </w:divBdr>
        </w:div>
      </w:divsChild>
    </w:div>
    <w:div w:id="980577492">
      <w:bodyDiv w:val="1"/>
      <w:marLeft w:val="0"/>
      <w:marRight w:val="0"/>
      <w:marTop w:val="0"/>
      <w:marBottom w:val="0"/>
      <w:divBdr>
        <w:top w:val="none" w:sz="0" w:space="0" w:color="auto"/>
        <w:left w:val="none" w:sz="0" w:space="0" w:color="auto"/>
        <w:bottom w:val="none" w:sz="0" w:space="0" w:color="auto"/>
        <w:right w:val="none" w:sz="0" w:space="0" w:color="auto"/>
      </w:divBdr>
      <w:divsChild>
        <w:div w:id="1945187456">
          <w:marLeft w:val="0"/>
          <w:marRight w:val="0"/>
          <w:marTop w:val="0"/>
          <w:marBottom w:val="0"/>
          <w:divBdr>
            <w:top w:val="none" w:sz="0" w:space="0" w:color="auto"/>
            <w:left w:val="none" w:sz="0" w:space="0" w:color="auto"/>
            <w:bottom w:val="none" w:sz="0" w:space="0" w:color="auto"/>
            <w:right w:val="none" w:sz="0" w:space="0" w:color="auto"/>
          </w:divBdr>
        </w:div>
      </w:divsChild>
    </w:div>
    <w:div w:id="991449985">
      <w:bodyDiv w:val="1"/>
      <w:marLeft w:val="0"/>
      <w:marRight w:val="0"/>
      <w:marTop w:val="0"/>
      <w:marBottom w:val="0"/>
      <w:divBdr>
        <w:top w:val="none" w:sz="0" w:space="0" w:color="auto"/>
        <w:left w:val="none" w:sz="0" w:space="0" w:color="auto"/>
        <w:bottom w:val="none" w:sz="0" w:space="0" w:color="auto"/>
        <w:right w:val="none" w:sz="0" w:space="0" w:color="auto"/>
      </w:divBdr>
      <w:divsChild>
        <w:div w:id="2025664156">
          <w:marLeft w:val="0"/>
          <w:marRight w:val="0"/>
          <w:marTop w:val="0"/>
          <w:marBottom w:val="0"/>
          <w:divBdr>
            <w:top w:val="none" w:sz="0" w:space="0" w:color="auto"/>
            <w:left w:val="none" w:sz="0" w:space="0" w:color="auto"/>
            <w:bottom w:val="none" w:sz="0" w:space="0" w:color="auto"/>
            <w:right w:val="none" w:sz="0" w:space="0" w:color="auto"/>
          </w:divBdr>
          <w:divsChild>
            <w:div w:id="889727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643268">
      <w:bodyDiv w:val="1"/>
      <w:marLeft w:val="0"/>
      <w:marRight w:val="0"/>
      <w:marTop w:val="0"/>
      <w:marBottom w:val="0"/>
      <w:divBdr>
        <w:top w:val="none" w:sz="0" w:space="0" w:color="auto"/>
        <w:left w:val="none" w:sz="0" w:space="0" w:color="auto"/>
        <w:bottom w:val="none" w:sz="0" w:space="0" w:color="auto"/>
        <w:right w:val="none" w:sz="0" w:space="0" w:color="auto"/>
      </w:divBdr>
      <w:divsChild>
        <w:div w:id="1553810425">
          <w:marLeft w:val="0"/>
          <w:marRight w:val="0"/>
          <w:marTop w:val="0"/>
          <w:marBottom w:val="0"/>
          <w:divBdr>
            <w:top w:val="none" w:sz="0" w:space="0" w:color="auto"/>
            <w:left w:val="none" w:sz="0" w:space="0" w:color="auto"/>
            <w:bottom w:val="none" w:sz="0" w:space="0" w:color="auto"/>
            <w:right w:val="none" w:sz="0" w:space="0" w:color="auto"/>
          </w:divBdr>
          <w:divsChild>
            <w:div w:id="2093507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59682">
      <w:bodyDiv w:val="1"/>
      <w:marLeft w:val="0"/>
      <w:marRight w:val="0"/>
      <w:marTop w:val="0"/>
      <w:marBottom w:val="0"/>
      <w:divBdr>
        <w:top w:val="none" w:sz="0" w:space="0" w:color="auto"/>
        <w:left w:val="none" w:sz="0" w:space="0" w:color="auto"/>
        <w:bottom w:val="none" w:sz="0" w:space="0" w:color="auto"/>
        <w:right w:val="none" w:sz="0" w:space="0" w:color="auto"/>
      </w:divBdr>
      <w:divsChild>
        <w:div w:id="1053233598">
          <w:marLeft w:val="0"/>
          <w:marRight w:val="0"/>
          <w:marTop w:val="0"/>
          <w:marBottom w:val="0"/>
          <w:divBdr>
            <w:top w:val="none" w:sz="0" w:space="0" w:color="auto"/>
            <w:left w:val="none" w:sz="0" w:space="0" w:color="auto"/>
            <w:bottom w:val="none" w:sz="0" w:space="0" w:color="auto"/>
            <w:right w:val="none" w:sz="0" w:space="0" w:color="auto"/>
          </w:divBdr>
          <w:divsChild>
            <w:div w:id="42284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042407">
      <w:bodyDiv w:val="1"/>
      <w:marLeft w:val="0"/>
      <w:marRight w:val="0"/>
      <w:marTop w:val="0"/>
      <w:marBottom w:val="0"/>
      <w:divBdr>
        <w:top w:val="none" w:sz="0" w:space="0" w:color="auto"/>
        <w:left w:val="none" w:sz="0" w:space="0" w:color="auto"/>
        <w:bottom w:val="none" w:sz="0" w:space="0" w:color="auto"/>
        <w:right w:val="none" w:sz="0" w:space="0" w:color="auto"/>
      </w:divBdr>
    </w:div>
    <w:div w:id="1257713652">
      <w:bodyDiv w:val="1"/>
      <w:marLeft w:val="0"/>
      <w:marRight w:val="0"/>
      <w:marTop w:val="0"/>
      <w:marBottom w:val="0"/>
      <w:divBdr>
        <w:top w:val="none" w:sz="0" w:space="0" w:color="auto"/>
        <w:left w:val="none" w:sz="0" w:space="0" w:color="auto"/>
        <w:bottom w:val="none" w:sz="0" w:space="0" w:color="auto"/>
        <w:right w:val="none" w:sz="0" w:space="0" w:color="auto"/>
      </w:divBdr>
      <w:divsChild>
        <w:div w:id="390159248">
          <w:marLeft w:val="0"/>
          <w:marRight w:val="0"/>
          <w:marTop w:val="0"/>
          <w:marBottom w:val="0"/>
          <w:divBdr>
            <w:top w:val="none" w:sz="0" w:space="0" w:color="auto"/>
            <w:left w:val="none" w:sz="0" w:space="0" w:color="auto"/>
            <w:bottom w:val="none" w:sz="0" w:space="0" w:color="auto"/>
            <w:right w:val="none" w:sz="0" w:space="0" w:color="auto"/>
          </w:divBdr>
        </w:div>
      </w:divsChild>
    </w:div>
    <w:div w:id="1272398256">
      <w:bodyDiv w:val="1"/>
      <w:marLeft w:val="0"/>
      <w:marRight w:val="0"/>
      <w:marTop w:val="0"/>
      <w:marBottom w:val="0"/>
      <w:divBdr>
        <w:top w:val="none" w:sz="0" w:space="0" w:color="auto"/>
        <w:left w:val="none" w:sz="0" w:space="0" w:color="auto"/>
        <w:bottom w:val="none" w:sz="0" w:space="0" w:color="auto"/>
        <w:right w:val="none" w:sz="0" w:space="0" w:color="auto"/>
      </w:divBdr>
      <w:divsChild>
        <w:div w:id="1772243565">
          <w:marLeft w:val="0"/>
          <w:marRight w:val="0"/>
          <w:marTop w:val="0"/>
          <w:marBottom w:val="0"/>
          <w:divBdr>
            <w:top w:val="none" w:sz="0" w:space="0" w:color="auto"/>
            <w:left w:val="none" w:sz="0" w:space="0" w:color="auto"/>
            <w:bottom w:val="none" w:sz="0" w:space="0" w:color="auto"/>
            <w:right w:val="none" w:sz="0" w:space="0" w:color="auto"/>
          </w:divBdr>
          <w:divsChild>
            <w:div w:id="5670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831873">
      <w:bodyDiv w:val="1"/>
      <w:marLeft w:val="0"/>
      <w:marRight w:val="0"/>
      <w:marTop w:val="0"/>
      <w:marBottom w:val="0"/>
      <w:divBdr>
        <w:top w:val="none" w:sz="0" w:space="0" w:color="auto"/>
        <w:left w:val="none" w:sz="0" w:space="0" w:color="auto"/>
        <w:bottom w:val="none" w:sz="0" w:space="0" w:color="auto"/>
        <w:right w:val="none" w:sz="0" w:space="0" w:color="auto"/>
      </w:divBdr>
    </w:div>
    <w:div w:id="1284114269">
      <w:bodyDiv w:val="1"/>
      <w:marLeft w:val="0"/>
      <w:marRight w:val="0"/>
      <w:marTop w:val="0"/>
      <w:marBottom w:val="0"/>
      <w:divBdr>
        <w:top w:val="none" w:sz="0" w:space="0" w:color="auto"/>
        <w:left w:val="none" w:sz="0" w:space="0" w:color="auto"/>
        <w:bottom w:val="none" w:sz="0" w:space="0" w:color="auto"/>
        <w:right w:val="none" w:sz="0" w:space="0" w:color="auto"/>
      </w:divBdr>
    </w:div>
    <w:div w:id="1324773678">
      <w:bodyDiv w:val="1"/>
      <w:marLeft w:val="0"/>
      <w:marRight w:val="0"/>
      <w:marTop w:val="0"/>
      <w:marBottom w:val="0"/>
      <w:divBdr>
        <w:top w:val="none" w:sz="0" w:space="0" w:color="auto"/>
        <w:left w:val="none" w:sz="0" w:space="0" w:color="auto"/>
        <w:bottom w:val="none" w:sz="0" w:space="0" w:color="auto"/>
        <w:right w:val="none" w:sz="0" w:space="0" w:color="auto"/>
      </w:divBdr>
      <w:divsChild>
        <w:div w:id="2036802708">
          <w:marLeft w:val="0"/>
          <w:marRight w:val="0"/>
          <w:marTop w:val="0"/>
          <w:marBottom w:val="0"/>
          <w:divBdr>
            <w:top w:val="none" w:sz="0" w:space="0" w:color="auto"/>
            <w:left w:val="none" w:sz="0" w:space="0" w:color="auto"/>
            <w:bottom w:val="none" w:sz="0" w:space="0" w:color="auto"/>
            <w:right w:val="none" w:sz="0" w:space="0" w:color="auto"/>
          </w:divBdr>
        </w:div>
      </w:divsChild>
    </w:div>
    <w:div w:id="1353141114">
      <w:bodyDiv w:val="1"/>
      <w:marLeft w:val="0"/>
      <w:marRight w:val="0"/>
      <w:marTop w:val="0"/>
      <w:marBottom w:val="0"/>
      <w:divBdr>
        <w:top w:val="none" w:sz="0" w:space="0" w:color="auto"/>
        <w:left w:val="none" w:sz="0" w:space="0" w:color="auto"/>
        <w:bottom w:val="none" w:sz="0" w:space="0" w:color="auto"/>
        <w:right w:val="none" w:sz="0" w:space="0" w:color="auto"/>
      </w:divBdr>
    </w:div>
    <w:div w:id="1370178945">
      <w:bodyDiv w:val="1"/>
      <w:marLeft w:val="0"/>
      <w:marRight w:val="0"/>
      <w:marTop w:val="0"/>
      <w:marBottom w:val="0"/>
      <w:divBdr>
        <w:top w:val="none" w:sz="0" w:space="0" w:color="auto"/>
        <w:left w:val="none" w:sz="0" w:space="0" w:color="auto"/>
        <w:bottom w:val="none" w:sz="0" w:space="0" w:color="auto"/>
        <w:right w:val="none" w:sz="0" w:space="0" w:color="auto"/>
      </w:divBdr>
    </w:div>
    <w:div w:id="1386031226">
      <w:bodyDiv w:val="1"/>
      <w:marLeft w:val="0"/>
      <w:marRight w:val="0"/>
      <w:marTop w:val="0"/>
      <w:marBottom w:val="0"/>
      <w:divBdr>
        <w:top w:val="none" w:sz="0" w:space="0" w:color="auto"/>
        <w:left w:val="none" w:sz="0" w:space="0" w:color="auto"/>
        <w:bottom w:val="none" w:sz="0" w:space="0" w:color="auto"/>
        <w:right w:val="none" w:sz="0" w:space="0" w:color="auto"/>
      </w:divBdr>
    </w:div>
    <w:div w:id="1488667699">
      <w:bodyDiv w:val="1"/>
      <w:marLeft w:val="0"/>
      <w:marRight w:val="0"/>
      <w:marTop w:val="0"/>
      <w:marBottom w:val="0"/>
      <w:divBdr>
        <w:top w:val="none" w:sz="0" w:space="0" w:color="auto"/>
        <w:left w:val="none" w:sz="0" w:space="0" w:color="auto"/>
        <w:bottom w:val="none" w:sz="0" w:space="0" w:color="auto"/>
        <w:right w:val="none" w:sz="0" w:space="0" w:color="auto"/>
      </w:divBdr>
    </w:div>
    <w:div w:id="1490904107">
      <w:bodyDiv w:val="1"/>
      <w:marLeft w:val="0"/>
      <w:marRight w:val="0"/>
      <w:marTop w:val="0"/>
      <w:marBottom w:val="0"/>
      <w:divBdr>
        <w:top w:val="none" w:sz="0" w:space="0" w:color="auto"/>
        <w:left w:val="none" w:sz="0" w:space="0" w:color="auto"/>
        <w:bottom w:val="none" w:sz="0" w:space="0" w:color="auto"/>
        <w:right w:val="none" w:sz="0" w:space="0" w:color="auto"/>
      </w:divBdr>
      <w:divsChild>
        <w:div w:id="428815529">
          <w:marLeft w:val="0"/>
          <w:marRight w:val="0"/>
          <w:marTop w:val="0"/>
          <w:marBottom w:val="0"/>
          <w:divBdr>
            <w:top w:val="none" w:sz="0" w:space="0" w:color="auto"/>
            <w:left w:val="none" w:sz="0" w:space="0" w:color="auto"/>
            <w:bottom w:val="none" w:sz="0" w:space="0" w:color="auto"/>
            <w:right w:val="none" w:sz="0" w:space="0" w:color="auto"/>
          </w:divBdr>
          <w:divsChild>
            <w:div w:id="63630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399712">
      <w:bodyDiv w:val="1"/>
      <w:marLeft w:val="0"/>
      <w:marRight w:val="0"/>
      <w:marTop w:val="0"/>
      <w:marBottom w:val="0"/>
      <w:divBdr>
        <w:top w:val="none" w:sz="0" w:space="0" w:color="auto"/>
        <w:left w:val="none" w:sz="0" w:space="0" w:color="auto"/>
        <w:bottom w:val="none" w:sz="0" w:space="0" w:color="auto"/>
        <w:right w:val="none" w:sz="0" w:space="0" w:color="auto"/>
      </w:divBdr>
      <w:divsChild>
        <w:div w:id="390155080">
          <w:marLeft w:val="0"/>
          <w:marRight w:val="0"/>
          <w:marTop w:val="0"/>
          <w:marBottom w:val="0"/>
          <w:divBdr>
            <w:top w:val="none" w:sz="0" w:space="0" w:color="auto"/>
            <w:left w:val="none" w:sz="0" w:space="0" w:color="auto"/>
            <w:bottom w:val="none" w:sz="0" w:space="0" w:color="auto"/>
            <w:right w:val="none" w:sz="0" w:space="0" w:color="auto"/>
          </w:divBdr>
          <w:divsChild>
            <w:div w:id="478543939">
              <w:marLeft w:val="0"/>
              <w:marRight w:val="0"/>
              <w:marTop w:val="0"/>
              <w:marBottom w:val="0"/>
              <w:divBdr>
                <w:top w:val="none" w:sz="0" w:space="0" w:color="auto"/>
                <w:left w:val="none" w:sz="0" w:space="0" w:color="auto"/>
                <w:bottom w:val="none" w:sz="0" w:space="0" w:color="auto"/>
                <w:right w:val="none" w:sz="0" w:space="0" w:color="auto"/>
              </w:divBdr>
              <w:divsChild>
                <w:div w:id="2013992949">
                  <w:marLeft w:val="0"/>
                  <w:marRight w:val="0"/>
                  <w:marTop w:val="0"/>
                  <w:marBottom w:val="0"/>
                  <w:divBdr>
                    <w:top w:val="none" w:sz="0" w:space="0" w:color="auto"/>
                    <w:left w:val="none" w:sz="0" w:space="0" w:color="auto"/>
                    <w:bottom w:val="none" w:sz="0" w:space="0" w:color="auto"/>
                    <w:right w:val="none" w:sz="0" w:space="0" w:color="auto"/>
                  </w:divBdr>
                  <w:divsChild>
                    <w:div w:id="74523303">
                      <w:marLeft w:val="0"/>
                      <w:marRight w:val="0"/>
                      <w:marTop w:val="0"/>
                      <w:marBottom w:val="0"/>
                      <w:divBdr>
                        <w:top w:val="none" w:sz="0" w:space="0" w:color="auto"/>
                        <w:left w:val="none" w:sz="0" w:space="0" w:color="auto"/>
                        <w:bottom w:val="none" w:sz="0" w:space="0" w:color="auto"/>
                        <w:right w:val="none" w:sz="0" w:space="0" w:color="auto"/>
                      </w:divBdr>
                      <w:divsChild>
                        <w:div w:id="585723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5812018">
          <w:marLeft w:val="0"/>
          <w:marRight w:val="0"/>
          <w:marTop w:val="0"/>
          <w:marBottom w:val="0"/>
          <w:divBdr>
            <w:top w:val="none" w:sz="0" w:space="0" w:color="auto"/>
            <w:left w:val="none" w:sz="0" w:space="0" w:color="auto"/>
            <w:bottom w:val="none" w:sz="0" w:space="0" w:color="auto"/>
            <w:right w:val="none" w:sz="0" w:space="0" w:color="auto"/>
          </w:divBdr>
          <w:divsChild>
            <w:div w:id="221405351">
              <w:marLeft w:val="0"/>
              <w:marRight w:val="0"/>
              <w:marTop w:val="0"/>
              <w:marBottom w:val="0"/>
              <w:divBdr>
                <w:top w:val="none" w:sz="0" w:space="0" w:color="auto"/>
                <w:left w:val="none" w:sz="0" w:space="0" w:color="auto"/>
                <w:bottom w:val="none" w:sz="0" w:space="0" w:color="auto"/>
                <w:right w:val="none" w:sz="0" w:space="0" w:color="auto"/>
              </w:divBdr>
              <w:divsChild>
                <w:div w:id="767308750">
                  <w:marLeft w:val="0"/>
                  <w:marRight w:val="0"/>
                  <w:marTop w:val="0"/>
                  <w:marBottom w:val="0"/>
                  <w:divBdr>
                    <w:top w:val="none" w:sz="0" w:space="0" w:color="auto"/>
                    <w:left w:val="none" w:sz="0" w:space="0" w:color="auto"/>
                    <w:bottom w:val="none" w:sz="0" w:space="0" w:color="auto"/>
                    <w:right w:val="none" w:sz="0" w:space="0" w:color="auto"/>
                  </w:divBdr>
                  <w:divsChild>
                    <w:div w:id="733086698">
                      <w:marLeft w:val="0"/>
                      <w:marRight w:val="0"/>
                      <w:marTop w:val="0"/>
                      <w:marBottom w:val="0"/>
                      <w:divBdr>
                        <w:top w:val="none" w:sz="0" w:space="0" w:color="auto"/>
                        <w:left w:val="none" w:sz="0" w:space="0" w:color="auto"/>
                        <w:bottom w:val="none" w:sz="0" w:space="0" w:color="auto"/>
                        <w:right w:val="none" w:sz="0" w:space="0" w:color="auto"/>
                      </w:divBdr>
                      <w:divsChild>
                        <w:div w:id="1476876145">
                          <w:marLeft w:val="0"/>
                          <w:marRight w:val="0"/>
                          <w:marTop w:val="0"/>
                          <w:marBottom w:val="0"/>
                          <w:divBdr>
                            <w:top w:val="none" w:sz="0" w:space="0" w:color="auto"/>
                            <w:left w:val="none" w:sz="0" w:space="0" w:color="auto"/>
                            <w:bottom w:val="none" w:sz="0" w:space="0" w:color="auto"/>
                            <w:right w:val="none" w:sz="0" w:space="0" w:color="auto"/>
                          </w:divBdr>
                          <w:divsChild>
                            <w:div w:id="5606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4970348">
      <w:bodyDiv w:val="1"/>
      <w:marLeft w:val="0"/>
      <w:marRight w:val="0"/>
      <w:marTop w:val="0"/>
      <w:marBottom w:val="0"/>
      <w:divBdr>
        <w:top w:val="none" w:sz="0" w:space="0" w:color="auto"/>
        <w:left w:val="none" w:sz="0" w:space="0" w:color="auto"/>
        <w:bottom w:val="none" w:sz="0" w:space="0" w:color="auto"/>
        <w:right w:val="none" w:sz="0" w:space="0" w:color="auto"/>
      </w:divBdr>
      <w:divsChild>
        <w:div w:id="170262954">
          <w:marLeft w:val="0"/>
          <w:marRight w:val="0"/>
          <w:marTop w:val="0"/>
          <w:marBottom w:val="0"/>
          <w:divBdr>
            <w:top w:val="none" w:sz="0" w:space="0" w:color="auto"/>
            <w:left w:val="none" w:sz="0" w:space="0" w:color="auto"/>
            <w:bottom w:val="none" w:sz="0" w:space="0" w:color="auto"/>
            <w:right w:val="none" w:sz="0" w:space="0" w:color="auto"/>
          </w:divBdr>
        </w:div>
        <w:div w:id="1647662876">
          <w:marLeft w:val="0"/>
          <w:marRight w:val="0"/>
          <w:marTop w:val="0"/>
          <w:marBottom w:val="0"/>
          <w:divBdr>
            <w:top w:val="none" w:sz="0" w:space="0" w:color="auto"/>
            <w:left w:val="none" w:sz="0" w:space="0" w:color="auto"/>
            <w:bottom w:val="none" w:sz="0" w:space="0" w:color="auto"/>
            <w:right w:val="none" w:sz="0" w:space="0" w:color="auto"/>
          </w:divBdr>
        </w:div>
      </w:divsChild>
    </w:div>
    <w:div w:id="1653832269">
      <w:bodyDiv w:val="1"/>
      <w:marLeft w:val="0"/>
      <w:marRight w:val="0"/>
      <w:marTop w:val="0"/>
      <w:marBottom w:val="0"/>
      <w:divBdr>
        <w:top w:val="none" w:sz="0" w:space="0" w:color="auto"/>
        <w:left w:val="none" w:sz="0" w:space="0" w:color="auto"/>
        <w:bottom w:val="none" w:sz="0" w:space="0" w:color="auto"/>
        <w:right w:val="none" w:sz="0" w:space="0" w:color="auto"/>
      </w:divBdr>
      <w:divsChild>
        <w:div w:id="1150706450">
          <w:marLeft w:val="0"/>
          <w:marRight w:val="0"/>
          <w:marTop w:val="0"/>
          <w:marBottom w:val="0"/>
          <w:divBdr>
            <w:top w:val="none" w:sz="0" w:space="0" w:color="auto"/>
            <w:left w:val="none" w:sz="0" w:space="0" w:color="auto"/>
            <w:bottom w:val="none" w:sz="0" w:space="0" w:color="auto"/>
            <w:right w:val="none" w:sz="0" w:space="0" w:color="auto"/>
          </w:divBdr>
          <w:divsChild>
            <w:div w:id="297103586">
              <w:marLeft w:val="0"/>
              <w:marRight w:val="0"/>
              <w:marTop w:val="0"/>
              <w:marBottom w:val="0"/>
              <w:divBdr>
                <w:top w:val="none" w:sz="0" w:space="0" w:color="auto"/>
                <w:left w:val="none" w:sz="0" w:space="0" w:color="auto"/>
                <w:bottom w:val="none" w:sz="0" w:space="0" w:color="auto"/>
                <w:right w:val="none" w:sz="0" w:space="0" w:color="auto"/>
              </w:divBdr>
              <w:divsChild>
                <w:div w:id="878475713">
                  <w:marLeft w:val="0"/>
                  <w:marRight w:val="0"/>
                  <w:marTop w:val="0"/>
                  <w:marBottom w:val="0"/>
                  <w:divBdr>
                    <w:top w:val="none" w:sz="0" w:space="0" w:color="auto"/>
                    <w:left w:val="none" w:sz="0" w:space="0" w:color="auto"/>
                    <w:bottom w:val="none" w:sz="0" w:space="0" w:color="auto"/>
                    <w:right w:val="none" w:sz="0" w:space="0" w:color="auto"/>
                  </w:divBdr>
                  <w:divsChild>
                    <w:div w:id="911430416">
                      <w:marLeft w:val="0"/>
                      <w:marRight w:val="0"/>
                      <w:marTop w:val="0"/>
                      <w:marBottom w:val="0"/>
                      <w:divBdr>
                        <w:top w:val="none" w:sz="0" w:space="0" w:color="auto"/>
                        <w:left w:val="none" w:sz="0" w:space="0" w:color="auto"/>
                        <w:bottom w:val="none" w:sz="0" w:space="0" w:color="auto"/>
                        <w:right w:val="none" w:sz="0" w:space="0" w:color="auto"/>
                      </w:divBdr>
                      <w:divsChild>
                        <w:div w:id="1990161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590557">
          <w:marLeft w:val="0"/>
          <w:marRight w:val="0"/>
          <w:marTop w:val="0"/>
          <w:marBottom w:val="0"/>
          <w:divBdr>
            <w:top w:val="none" w:sz="0" w:space="0" w:color="auto"/>
            <w:left w:val="none" w:sz="0" w:space="0" w:color="auto"/>
            <w:bottom w:val="none" w:sz="0" w:space="0" w:color="auto"/>
            <w:right w:val="none" w:sz="0" w:space="0" w:color="auto"/>
          </w:divBdr>
          <w:divsChild>
            <w:div w:id="1958559630">
              <w:marLeft w:val="0"/>
              <w:marRight w:val="0"/>
              <w:marTop w:val="0"/>
              <w:marBottom w:val="0"/>
              <w:divBdr>
                <w:top w:val="none" w:sz="0" w:space="0" w:color="auto"/>
                <w:left w:val="none" w:sz="0" w:space="0" w:color="auto"/>
                <w:bottom w:val="none" w:sz="0" w:space="0" w:color="auto"/>
                <w:right w:val="none" w:sz="0" w:space="0" w:color="auto"/>
              </w:divBdr>
              <w:divsChild>
                <w:div w:id="163253205">
                  <w:marLeft w:val="0"/>
                  <w:marRight w:val="0"/>
                  <w:marTop w:val="0"/>
                  <w:marBottom w:val="0"/>
                  <w:divBdr>
                    <w:top w:val="none" w:sz="0" w:space="0" w:color="auto"/>
                    <w:left w:val="none" w:sz="0" w:space="0" w:color="auto"/>
                    <w:bottom w:val="none" w:sz="0" w:space="0" w:color="auto"/>
                    <w:right w:val="none" w:sz="0" w:space="0" w:color="auto"/>
                  </w:divBdr>
                  <w:divsChild>
                    <w:div w:id="737554526">
                      <w:marLeft w:val="0"/>
                      <w:marRight w:val="0"/>
                      <w:marTop w:val="0"/>
                      <w:marBottom w:val="0"/>
                      <w:divBdr>
                        <w:top w:val="none" w:sz="0" w:space="0" w:color="auto"/>
                        <w:left w:val="none" w:sz="0" w:space="0" w:color="auto"/>
                        <w:bottom w:val="none" w:sz="0" w:space="0" w:color="auto"/>
                        <w:right w:val="none" w:sz="0" w:space="0" w:color="auto"/>
                      </w:divBdr>
                      <w:divsChild>
                        <w:div w:id="126245038">
                          <w:marLeft w:val="0"/>
                          <w:marRight w:val="0"/>
                          <w:marTop w:val="0"/>
                          <w:marBottom w:val="0"/>
                          <w:divBdr>
                            <w:top w:val="none" w:sz="0" w:space="0" w:color="auto"/>
                            <w:left w:val="none" w:sz="0" w:space="0" w:color="auto"/>
                            <w:bottom w:val="none" w:sz="0" w:space="0" w:color="auto"/>
                            <w:right w:val="none" w:sz="0" w:space="0" w:color="auto"/>
                          </w:divBdr>
                          <w:divsChild>
                            <w:div w:id="110234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72414922">
      <w:bodyDiv w:val="1"/>
      <w:marLeft w:val="0"/>
      <w:marRight w:val="0"/>
      <w:marTop w:val="0"/>
      <w:marBottom w:val="0"/>
      <w:divBdr>
        <w:top w:val="none" w:sz="0" w:space="0" w:color="auto"/>
        <w:left w:val="none" w:sz="0" w:space="0" w:color="auto"/>
        <w:bottom w:val="none" w:sz="0" w:space="0" w:color="auto"/>
        <w:right w:val="none" w:sz="0" w:space="0" w:color="auto"/>
      </w:divBdr>
      <w:divsChild>
        <w:div w:id="1051229192">
          <w:marLeft w:val="0"/>
          <w:marRight w:val="0"/>
          <w:marTop w:val="0"/>
          <w:marBottom w:val="0"/>
          <w:divBdr>
            <w:top w:val="none" w:sz="0" w:space="0" w:color="auto"/>
            <w:left w:val="none" w:sz="0" w:space="0" w:color="auto"/>
            <w:bottom w:val="none" w:sz="0" w:space="0" w:color="auto"/>
            <w:right w:val="none" w:sz="0" w:space="0" w:color="auto"/>
          </w:divBdr>
          <w:divsChild>
            <w:div w:id="44859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4555">
      <w:bodyDiv w:val="1"/>
      <w:marLeft w:val="0"/>
      <w:marRight w:val="0"/>
      <w:marTop w:val="0"/>
      <w:marBottom w:val="0"/>
      <w:divBdr>
        <w:top w:val="none" w:sz="0" w:space="0" w:color="auto"/>
        <w:left w:val="none" w:sz="0" w:space="0" w:color="auto"/>
        <w:bottom w:val="none" w:sz="0" w:space="0" w:color="auto"/>
        <w:right w:val="none" w:sz="0" w:space="0" w:color="auto"/>
      </w:divBdr>
    </w:div>
    <w:div w:id="1682586589">
      <w:bodyDiv w:val="1"/>
      <w:marLeft w:val="0"/>
      <w:marRight w:val="0"/>
      <w:marTop w:val="0"/>
      <w:marBottom w:val="0"/>
      <w:divBdr>
        <w:top w:val="none" w:sz="0" w:space="0" w:color="auto"/>
        <w:left w:val="none" w:sz="0" w:space="0" w:color="auto"/>
        <w:bottom w:val="none" w:sz="0" w:space="0" w:color="auto"/>
        <w:right w:val="none" w:sz="0" w:space="0" w:color="auto"/>
      </w:divBdr>
    </w:div>
    <w:div w:id="1698310266">
      <w:bodyDiv w:val="1"/>
      <w:marLeft w:val="0"/>
      <w:marRight w:val="0"/>
      <w:marTop w:val="0"/>
      <w:marBottom w:val="0"/>
      <w:divBdr>
        <w:top w:val="none" w:sz="0" w:space="0" w:color="auto"/>
        <w:left w:val="none" w:sz="0" w:space="0" w:color="auto"/>
        <w:bottom w:val="none" w:sz="0" w:space="0" w:color="auto"/>
        <w:right w:val="none" w:sz="0" w:space="0" w:color="auto"/>
      </w:divBdr>
      <w:divsChild>
        <w:div w:id="1605766214">
          <w:marLeft w:val="0"/>
          <w:marRight w:val="0"/>
          <w:marTop w:val="0"/>
          <w:marBottom w:val="0"/>
          <w:divBdr>
            <w:top w:val="none" w:sz="0" w:space="0" w:color="auto"/>
            <w:left w:val="none" w:sz="0" w:space="0" w:color="auto"/>
            <w:bottom w:val="none" w:sz="0" w:space="0" w:color="auto"/>
            <w:right w:val="none" w:sz="0" w:space="0" w:color="auto"/>
          </w:divBdr>
        </w:div>
      </w:divsChild>
    </w:div>
    <w:div w:id="1853566142">
      <w:bodyDiv w:val="1"/>
      <w:marLeft w:val="0"/>
      <w:marRight w:val="0"/>
      <w:marTop w:val="0"/>
      <w:marBottom w:val="0"/>
      <w:divBdr>
        <w:top w:val="none" w:sz="0" w:space="0" w:color="auto"/>
        <w:left w:val="none" w:sz="0" w:space="0" w:color="auto"/>
        <w:bottom w:val="none" w:sz="0" w:space="0" w:color="auto"/>
        <w:right w:val="none" w:sz="0" w:space="0" w:color="auto"/>
      </w:divBdr>
    </w:div>
    <w:div w:id="1880320836">
      <w:bodyDiv w:val="1"/>
      <w:marLeft w:val="0"/>
      <w:marRight w:val="0"/>
      <w:marTop w:val="0"/>
      <w:marBottom w:val="0"/>
      <w:divBdr>
        <w:top w:val="none" w:sz="0" w:space="0" w:color="auto"/>
        <w:left w:val="none" w:sz="0" w:space="0" w:color="auto"/>
        <w:bottom w:val="none" w:sz="0" w:space="0" w:color="auto"/>
        <w:right w:val="none" w:sz="0" w:space="0" w:color="auto"/>
      </w:divBdr>
      <w:divsChild>
        <w:div w:id="797603584">
          <w:marLeft w:val="0"/>
          <w:marRight w:val="0"/>
          <w:marTop w:val="0"/>
          <w:marBottom w:val="0"/>
          <w:divBdr>
            <w:top w:val="none" w:sz="0" w:space="0" w:color="auto"/>
            <w:left w:val="none" w:sz="0" w:space="0" w:color="auto"/>
            <w:bottom w:val="none" w:sz="0" w:space="0" w:color="auto"/>
            <w:right w:val="none" w:sz="0" w:space="0" w:color="auto"/>
          </w:divBdr>
          <w:divsChild>
            <w:div w:id="1405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89596">
      <w:bodyDiv w:val="1"/>
      <w:marLeft w:val="0"/>
      <w:marRight w:val="0"/>
      <w:marTop w:val="0"/>
      <w:marBottom w:val="0"/>
      <w:divBdr>
        <w:top w:val="none" w:sz="0" w:space="0" w:color="auto"/>
        <w:left w:val="none" w:sz="0" w:space="0" w:color="auto"/>
        <w:bottom w:val="none" w:sz="0" w:space="0" w:color="auto"/>
        <w:right w:val="none" w:sz="0" w:space="0" w:color="auto"/>
      </w:divBdr>
    </w:div>
    <w:div w:id="1944192656">
      <w:bodyDiv w:val="1"/>
      <w:marLeft w:val="0"/>
      <w:marRight w:val="0"/>
      <w:marTop w:val="0"/>
      <w:marBottom w:val="0"/>
      <w:divBdr>
        <w:top w:val="none" w:sz="0" w:space="0" w:color="auto"/>
        <w:left w:val="none" w:sz="0" w:space="0" w:color="auto"/>
        <w:bottom w:val="none" w:sz="0" w:space="0" w:color="auto"/>
        <w:right w:val="none" w:sz="0" w:space="0" w:color="auto"/>
      </w:divBdr>
    </w:div>
    <w:div w:id="1973365739">
      <w:bodyDiv w:val="1"/>
      <w:marLeft w:val="0"/>
      <w:marRight w:val="0"/>
      <w:marTop w:val="0"/>
      <w:marBottom w:val="0"/>
      <w:divBdr>
        <w:top w:val="none" w:sz="0" w:space="0" w:color="auto"/>
        <w:left w:val="none" w:sz="0" w:space="0" w:color="auto"/>
        <w:bottom w:val="none" w:sz="0" w:space="0" w:color="auto"/>
        <w:right w:val="none" w:sz="0" w:space="0" w:color="auto"/>
      </w:divBdr>
    </w:div>
    <w:div w:id="1982730986">
      <w:bodyDiv w:val="1"/>
      <w:marLeft w:val="0"/>
      <w:marRight w:val="0"/>
      <w:marTop w:val="0"/>
      <w:marBottom w:val="0"/>
      <w:divBdr>
        <w:top w:val="none" w:sz="0" w:space="0" w:color="auto"/>
        <w:left w:val="none" w:sz="0" w:space="0" w:color="auto"/>
        <w:bottom w:val="none" w:sz="0" w:space="0" w:color="auto"/>
        <w:right w:val="none" w:sz="0" w:space="0" w:color="auto"/>
      </w:divBdr>
      <w:divsChild>
        <w:div w:id="759720056">
          <w:marLeft w:val="0"/>
          <w:marRight w:val="0"/>
          <w:marTop w:val="0"/>
          <w:marBottom w:val="0"/>
          <w:divBdr>
            <w:top w:val="none" w:sz="0" w:space="0" w:color="auto"/>
            <w:left w:val="none" w:sz="0" w:space="0" w:color="auto"/>
            <w:bottom w:val="none" w:sz="0" w:space="0" w:color="auto"/>
            <w:right w:val="none" w:sz="0" w:space="0" w:color="auto"/>
          </w:divBdr>
          <w:divsChild>
            <w:div w:id="18267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457117">
      <w:bodyDiv w:val="1"/>
      <w:marLeft w:val="0"/>
      <w:marRight w:val="0"/>
      <w:marTop w:val="0"/>
      <w:marBottom w:val="0"/>
      <w:divBdr>
        <w:top w:val="none" w:sz="0" w:space="0" w:color="auto"/>
        <w:left w:val="none" w:sz="0" w:space="0" w:color="auto"/>
        <w:bottom w:val="none" w:sz="0" w:space="0" w:color="auto"/>
        <w:right w:val="none" w:sz="0" w:space="0" w:color="auto"/>
      </w:divBdr>
    </w:div>
    <w:div w:id="2051420259">
      <w:bodyDiv w:val="1"/>
      <w:marLeft w:val="0"/>
      <w:marRight w:val="0"/>
      <w:marTop w:val="0"/>
      <w:marBottom w:val="0"/>
      <w:divBdr>
        <w:top w:val="none" w:sz="0" w:space="0" w:color="auto"/>
        <w:left w:val="none" w:sz="0" w:space="0" w:color="auto"/>
        <w:bottom w:val="none" w:sz="0" w:space="0" w:color="auto"/>
        <w:right w:val="none" w:sz="0" w:space="0" w:color="auto"/>
      </w:divBdr>
      <w:divsChild>
        <w:div w:id="466512560">
          <w:marLeft w:val="0"/>
          <w:marRight w:val="0"/>
          <w:marTop w:val="0"/>
          <w:marBottom w:val="0"/>
          <w:divBdr>
            <w:top w:val="none" w:sz="0" w:space="0" w:color="auto"/>
            <w:left w:val="none" w:sz="0" w:space="0" w:color="auto"/>
            <w:bottom w:val="none" w:sz="0" w:space="0" w:color="auto"/>
            <w:right w:val="none" w:sz="0" w:space="0" w:color="auto"/>
          </w:divBdr>
          <w:divsChild>
            <w:div w:id="8359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08691">
      <w:bodyDiv w:val="1"/>
      <w:marLeft w:val="0"/>
      <w:marRight w:val="0"/>
      <w:marTop w:val="0"/>
      <w:marBottom w:val="0"/>
      <w:divBdr>
        <w:top w:val="none" w:sz="0" w:space="0" w:color="auto"/>
        <w:left w:val="none" w:sz="0" w:space="0" w:color="auto"/>
        <w:bottom w:val="none" w:sz="0" w:space="0" w:color="auto"/>
        <w:right w:val="none" w:sz="0" w:space="0" w:color="auto"/>
      </w:divBdr>
      <w:divsChild>
        <w:div w:id="245769185">
          <w:marLeft w:val="0"/>
          <w:marRight w:val="0"/>
          <w:marTop w:val="0"/>
          <w:marBottom w:val="0"/>
          <w:divBdr>
            <w:top w:val="none" w:sz="0" w:space="0" w:color="auto"/>
            <w:left w:val="none" w:sz="0" w:space="0" w:color="auto"/>
            <w:bottom w:val="none" w:sz="0" w:space="0" w:color="auto"/>
            <w:right w:val="none" w:sz="0" w:space="0" w:color="auto"/>
          </w:divBdr>
          <w:divsChild>
            <w:div w:id="167341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259034">
      <w:bodyDiv w:val="1"/>
      <w:marLeft w:val="0"/>
      <w:marRight w:val="0"/>
      <w:marTop w:val="0"/>
      <w:marBottom w:val="0"/>
      <w:divBdr>
        <w:top w:val="none" w:sz="0" w:space="0" w:color="auto"/>
        <w:left w:val="none" w:sz="0" w:space="0" w:color="auto"/>
        <w:bottom w:val="none" w:sz="0" w:space="0" w:color="auto"/>
        <w:right w:val="none" w:sz="0" w:space="0" w:color="auto"/>
      </w:divBdr>
      <w:divsChild>
        <w:div w:id="511528215">
          <w:marLeft w:val="0"/>
          <w:marRight w:val="0"/>
          <w:marTop w:val="0"/>
          <w:marBottom w:val="0"/>
          <w:divBdr>
            <w:top w:val="none" w:sz="0" w:space="0" w:color="auto"/>
            <w:left w:val="none" w:sz="0" w:space="0" w:color="auto"/>
            <w:bottom w:val="none" w:sz="0" w:space="0" w:color="auto"/>
            <w:right w:val="none" w:sz="0" w:space="0" w:color="auto"/>
          </w:divBdr>
          <w:divsChild>
            <w:div w:id="183757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ncbi.nlm.nih.gov/books/NBK248425/" TargetMode="External"/><Relationship Id="rId21" Type="http://schemas.openxmlformats.org/officeDocument/2006/relationships/hyperlink" Target="https://www.ncbi.nlm.nih.gov/books/NBK248425/" TargetMode="External"/><Relationship Id="rId42" Type="http://schemas.openxmlformats.org/officeDocument/2006/relationships/hyperlink" Target="https://www.ncbi.nlm.nih.gov/books/n/tip59/appg/def-item/appg.gl1-d1/" TargetMode="External"/><Relationship Id="rId63" Type="http://schemas.openxmlformats.org/officeDocument/2006/relationships/hyperlink" Target="https://www.ncbi.nlm.nih.gov/books/n/tip59/appg/def-item/appg.gl1-d24/" TargetMode="External"/><Relationship Id="rId84" Type="http://schemas.openxmlformats.org/officeDocument/2006/relationships/hyperlink" Target="https://www.ncbi.nlm.nih.gov/books/n/tip59/appg/def-item/appg.gl1-d20/" TargetMode="External"/><Relationship Id="rId16" Type="http://schemas.openxmlformats.org/officeDocument/2006/relationships/hyperlink" Target="https://www.ncbi.nlm.nih.gov/books/NBK248425/" TargetMode="External"/><Relationship Id="rId107" Type="http://schemas.openxmlformats.org/officeDocument/2006/relationships/hyperlink" Target="https://www.ncbi.nlm.nih.gov/books/n/tip59/appg/def-item/appg.gl1-d1/" TargetMode="External"/><Relationship Id="rId11" Type="http://schemas.openxmlformats.org/officeDocument/2006/relationships/hyperlink" Target="https://www.ncbi.nlm.nih.gov/pmc/articles/PMC5026296/table/T1/" TargetMode="External"/><Relationship Id="rId32" Type="http://schemas.openxmlformats.org/officeDocument/2006/relationships/hyperlink" Target="https://www.ncbi.nlm.nih.gov/books/NBK248425/" TargetMode="External"/><Relationship Id="rId37" Type="http://schemas.openxmlformats.org/officeDocument/2006/relationships/hyperlink" Target="https://www.ncbi.nlm.nih.gov/books/n/tip59/appg/def-item/appg.gl1-d24/" TargetMode="External"/><Relationship Id="rId53" Type="http://schemas.openxmlformats.org/officeDocument/2006/relationships/hyperlink" Target="https://www.ncbi.nlm.nih.gov/books/NBK248425/" TargetMode="External"/><Relationship Id="rId58" Type="http://schemas.openxmlformats.org/officeDocument/2006/relationships/hyperlink" Target="https://www.ncbi.nlm.nih.gov/books/n/tip59/appg/def-item/appg.gl1-d1/" TargetMode="External"/><Relationship Id="rId74" Type="http://schemas.openxmlformats.org/officeDocument/2006/relationships/hyperlink" Target="https://www.ncbi.nlm.nih.gov/books/n/tip59/appg/def-item/appg.gl1-d20/" TargetMode="External"/><Relationship Id="rId79" Type="http://schemas.openxmlformats.org/officeDocument/2006/relationships/hyperlink" Target="https://www.ncbi.nlm.nih.gov/books/n/tip59/appg/def-item/appg.gl1-d20/" TargetMode="External"/><Relationship Id="rId102" Type="http://schemas.openxmlformats.org/officeDocument/2006/relationships/hyperlink" Target="https://www.ncbi.nlm.nih.gov/books/n/tip59/appg/def-item/appg.gl1-d1/" TargetMode="External"/><Relationship Id="rId123" Type="http://schemas.openxmlformats.org/officeDocument/2006/relationships/hyperlink" Target="https://www.ncbi.nlm.nih.gov/books/n/tip59/appg/def-item/appg.gl1-d15/" TargetMode="External"/><Relationship Id="rId128" Type="http://schemas.openxmlformats.org/officeDocument/2006/relationships/hyperlink" Target="https://www.ncbi.nlm.nih.gov/books/NBK248425/" TargetMode="External"/><Relationship Id="rId5" Type="http://schemas.openxmlformats.org/officeDocument/2006/relationships/hyperlink" Target="https://www.ncbi.nlm.nih.gov/pmc/articles/PMC5008869/" TargetMode="External"/><Relationship Id="rId90" Type="http://schemas.openxmlformats.org/officeDocument/2006/relationships/hyperlink" Target="https://www.ncbi.nlm.nih.gov/books/NBK248425/" TargetMode="External"/><Relationship Id="rId95" Type="http://schemas.openxmlformats.org/officeDocument/2006/relationships/hyperlink" Target="https://www.ncbi.nlm.nih.gov/books/n/tip59/appg/def-item/appg.gl1-d1/" TargetMode="External"/><Relationship Id="rId22" Type="http://schemas.openxmlformats.org/officeDocument/2006/relationships/hyperlink" Target="http://sitemaker.umich.edu/aaril/files/mibiscaleand" TargetMode="External"/><Relationship Id="rId27" Type="http://schemas.openxmlformats.org/officeDocument/2006/relationships/hyperlink" Target="https://www.ncbi.nlm.nih.gov/books/n/tip59/appg/def-item/appg.gl1-d1/" TargetMode="External"/><Relationship Id="rId43" Type="http://schemas.openxmlformats.org/officeDocument/2006/relationships/hyperlink" Target="https://www.ncbi.nlm.nih.gov/books/n/tip59/appg/def-item/appg.gl1-d24/" TargetMode="External"/><Relationship Id="rId48" Type="http://schemas.openxmlformats.org/officeDocument/2006/relationships/hyperlink" Target="https://www.ncbi.nlm.nih.gov/books/n/tip59/appg/def-item/appg.gl1-d3/" TargetMode="External"/><Relationship Id="rId64" Type="http://schemas.openxmlformats.org/officeDocument/2006/relationships/hyperlink" Target="https://www.ncbi.nlm.nih.gov/books/n/tip59/appg/def-item/appg.gl1-d9/" TargetMode="External"/><Relationship Id="rId69" Type="http://schemas.openxmlformats.org/officeDocument/2006/relationships/hyperlink" Target="https://www.ncbi.nlm.nih.gov/books/n/tip59/appg/def-item/appg.gl1-d24/" TargetMode="External"/><Relationship Id="rId113" Type="http://schemas.openxmlformats.org/officeDocument/2006/relationships/hyperlink" Target="https://www.ncbi.nlm.nih.gov/books/NBK248425/" TargetMode="External"/><Relationship Id="rId118" Type="http://schemas.openxmlformats.org/officeDocument/2006/relationships/hyperlink" Target="https://www.ncbi.nlm.nih.gov/books/n/tip59/appg/def-item/appg.gl1-d15/" TargetMode="External"/><Relationship Id="rId134" Type="http://schemas.openxmlformats.org/officeDocument/2006/relationships/theme" Target="theme/theme1.xml"/><Relationship Id="rId80" Type="http://schemas.openxmlformats.org/officeDocument/2006/relationships/hyperlink" Target="https://www.ncbi.nlm.nih.gov/books/n/tip59/appg/def-item/appg.gl1-d1/" TargetMode="External"/><Relationship Id="rId85" Type="http://schemas.openxmlformats.org/officeDocument/2006/relationships/hyperlink" Target="https://www.ncbi.nlm.nih.gov/books/n/tip59/appg/def-item/appg.gl1-d20/" TargetMode="External"/><Relationship Id="rId12" Type="http://schemas.openxmlformats.org/officeDocument/2006/relationships/hyperlink" Target="https://www.ncbi.nlm.nih.gov/pmc/articles/PMC5026296/" TargetMode="External"/><Relationship Id="rId17" Type="http://schemas.openxmlformats.org/officeDocument/2006/relationships/hyperlink" Target="https://www.ncbi.nlm.nih.gov/books/n/tip59/appg/def-item/appg.gl1-d1/" TargetMode="External"/><Relationship Id="rId33" Type="http://schemas.openxmlformats.org/officeDocument/2006/relationships/hyperlink" Target="https://www.ncbi.nlm.nih.gov/books/n/tip59/appg/def-item/appg.gl1-d1/" TargetMode="External"/><Relationship Id="rId38" Type="http://schemas.openxmlformats.org/officeDocument/2006/relationships/hyperlink" Target="https://www.ncbi.nlm.nih.gov/books/n/tip59/appg/def-item/appg.gl1-d1/" TargetMode="External"/><Relationship Id="rId59" Type="http://schemas.openxmlformats.org/officeDocument/2006/relationships/hyperlink" Target="https://www.ncbi.nlm.nih.gov/books/n/tip59/appg/def-item/appg.gl1-d1/" TargetMode="External"/><Relationship Id="rId103" Type="http://schemas.openxmlformats.org/officeDocument/2006/relationships/hyperlink" Target="https://www.ncbi.nlm.nih.gov/books/NBK248425/" TargetMode="External"/><Relationship Id="rId108" Type="http://schemas.openxmlformats.org/officeDocument/2006/relationships/hyperlink" Target="https://www.ncbi.nlm.nih.gov/books/n/tip59/appg/def-item/appg.gl1-d1/" TargetMode="External"/><Relationship Id="rId124" Type="http://schemas.openxmlformats.org/officeDocument/2006/relationships/hyperlink" Target="https://www.ncbi.nlm.nih.gov/books/n/tip59/appg/def-item/appg.gl1-d15/" TargetMode="External"/><Relationship Id="rId129" Type="http://schemas.openxmlformats.org/officeDocument/2006/relationships/hyperlink" Target="https://www.ncbi.nlm.nih.gov/books/n/tip59/appg/def-item/appg.gl1-d24/" TargetMode="External"/><Relationship Id="rId54" Type="http://schemas.openxmlformats.org/officeDocument/2006/relationships/hyperlink" Target="https://www.ncbi.nlm.nih.gov/books/n/tip59/appg/def-item/appg.gl1-d24/" TargetMode="External"/><Relationship Id="rId70" Type="http://schemas.openxmlformats.org/officeDocument/2006/relationships/hyperlink" Target="http://casaa.unm.edu/inst/MARIN%20Short%20Scale.pdf" TargetMode="External"/><Relationship Id="rId75" Type="http://schemas.openxmlformats.org/officeDocument/2006/relationships/hyperlink" Target="https://www.ncbi.nlm.nih.gov/books/n/tip59/appg/def-item/appg.gl1-d1/" TargetMode="External"/><Relationship Id="rId91" Type="http://schemas.openxmlformats.org/officeDocument/2006/relationships/hyperlink" Target="https://www.ncbi.nlm.nih.gov/books/n/tip59/appg/def-item/appg.gl1-d1/" TargetMode="External"/><Relationship Id="rId96" Type="http://schemas.openxmlformats.org/officeDocument/2006/relationships/hyperlink" Target="https://www.ncbi.nlm.nih.gov/books/n/tip59/appg/def-item/appg.gl1-d24/" TargetMode="External"/><Relationship Id="rId1" Type="http://schemas.openxmlformats.org/officeDocument/2006/relationships/numbering" Target="numbering.xml"/><Relationship Id="rId6" Type="http://schemas.openxmlformats.org/officeDocument/2006/relationships/hyperlink" Target="https://www.ncbi.nlm.nih.gov/pmc/articles/PMC5026296/" TargetMode="External"/><Relationship Id="rId23" Type="http://schemas.openxmlformats.org/officeDocument/2006/relationships/hyperlink" Target="https://www.ncbi.nlm.nih.gov/books/n/tip59/appg/def-item/appg.gl1-d1/" TargetMode="External"/><Relationship Id="rId28" Type="http://schemas.openxmlformats.org/officeDocument/2006/relationships/hyperlink" Target="https://www.ncbi.nlm.nih.gov/books/NBK248425/" TargetMode="External"/><Relationship Id="rId49" Type="http://schemas.openxmlformats.org/officeDocument/2006/relationships/hyperlink" Target="https://www.ncbi.nlm.nih.gov/books/n/tip59/appg/def-item/appg.gl1-d1/" TargetMode="External"/><Relationship Id="rId114" Type="http://schemas.openxmlformats.org/officeDocument/2006/relationships/hyperlink" Target="https://www.ncbi.nlm.nih.gov/books/n/tip59/appg/def-item/appg.gl1-d15/" TargetMode="External"/><Relationship Id="rId119" Type="http://schemas.openxmlformats.org/officeDocument/2006/relationships/hyperlink" Target="https://www.ncbi.nlm.nih.gov/books/n/tip59/appg/def-item/appg.gl1-d15/" TargetMode="External"/><Relationship Id="rId44" Type="http://schemas.openxmlformats.org/officeDocument/2006/relationships/hyperlink" Target="https://www.ncbi.nlm.nih.gov/books/n/tip59/appg/def-item/appg.gl1-d3/" TargetMode="External"/><Relationship Id="rId60" Type="http://schemas.openxmlformats.org/officeDocument/2006/relationships/hyperlink" Target="https://www.ncbi.nlm.nih.gov/books/n/tip59/appg/def-item/appg.gl1-d1/" TargetMode="External"/><Relationship Id="rId65" Type="http://schemas.openxmlformats.org/officeDocument/2006/relationships/hyperlink" Target="https://www.ncbi.nlm.nih.gov/books/n/tip59/appg/def-item/appg.gl1-d20/" TargetMode="External"/><Relationship Id="rId81" Type="http://schemas.openxmlformats.org/officeDocument/2006/relationships/hyperlink" Target="https://www.ncbi.nlm.nih.gov/books/NBK248425/" TargetMode="External"/><Relationship Id="rId86" Type="http://schemas.openxmlformats.org/officeDocument/2006/relationships/hyperlink" Target="https://www.ncbi.nlm.nih.gov/books/NBK248425/" TargetMode="External"/><Relationship Id="rId130" Type="http://schemas.openxmlformats.org/officeDocument/2006/relationships/hyperlink" Target="https://ethnobiomed.biomedcentral.com/articles/10.1186/1746-4269-7-38" TargetMode="External"/><Relationship Id="rId13" Type="http://schemas.openxmlformats.org/officeDocument/2006/relationships/hyperlink" Target="https://link.springer.com/article/10.1007/s10745-010-9321-7" TargetMode="External"/><Relationship Id="rId18" Type="http://schemas.openxmlformats.org/officeDocument/2006/relationships/hyperlink" Target="https://www.ncbi.nlm.nih.gov/books/n/tip59/appg/def-item/appg.gl1-d15/" TargetMode="External"/><Relationship Id="rId39" Type="http://schemas.openxmlformats.org/officeDocument/2006/relationships/hyperlink" Target="https://www.ncbi.nlm.nih.gov/books/NBK248425/" TargetMode="External"/><Relationship Id="rId109" Type="http://schemas.openxmlformats.org/officeDocument/2006/relationships/hyperlink" Target="https://www.ncbi.nlm.nih.gov/books/NBK248425/" TargetMode="External"/><Relationship Id="rId34" Type="http://schemas.openxmlformats.org/officeDocument/2006/relationships/hyperlink" Target="https://www.ncbi.nlm.nih.gov/books/n/tip59/appg/def-item/appg.gl1-d15/" TargetMode="External"/><Relationship Id="rId50" Type="http://schemas.openxmlformats.org/officeDocument/2006/relationships/hyperlink" Target="https://www.ncbi.nlm.nih.gov/books/n/tip59/appg/def-item/appg.gl1-d1/" TargetMode="External"/><Relationship Id="rId55" Type="http://schemas.openxmlformats.org/officeDocument/2006/relationships/hyperlink" Target="http://www.columbia.edu/cu/ssw/projects/pmap/docs/gupta_acculturation.pdf" TargetMode="External"/><Relationship Id="rId76" Type="http://schemas.openxmlformats.org/officeDocument/2006/relationships/hyperlink" Target="https://www.ncbi.nlm.nih.gov/books/NBK248425/" TargetMode="External"/><Relationship Id="rId97" Type="http://schemas.openxmlformats.org/officeDocument/2006/relationships/hyperlink" Target="https://www.ncbi.nlm.nih.gov/books/n/tip59/appg/def-item/appg.gl1-d24/" TargetMode="External"/><Relationship Id="rId104" Type="http://schemas.openxmlformats.org/officeDocument/2006/relationships/hyperlink" Target="https://www.ncbi.nlm.nih.gov/books/n/tip59/appg/def-item/appg.gl1-d24/" TargetMode="External"/><Relationship Id="rId120" Type="http://schemas.openxmlformats.org/officeDocument/2006/relationships/hyperlink" Target="http://www2.psych.ubc.ca/%CB%9Cdpaulhus/Paulhus_measures/VIA.American.doc" TargetMode="External"/><Relationship Id="rId125" Type="http://schemas.openxmlformats.org/officeDocument/2006/relationships/hyperlink" Target="https://www.ncbi.nlm.nih.gov/books/n/tip59/appg/def-item/appg.gl1-d1/" TargetMode="External"/><Relationship Id="rId7" Type="http://schemas.openxmlformats.org/officeDocument/2006/relationships/hyperlink" Target="https://www.ncbi.nlm.nih.gov/pmc/articles/PMC5026296/" TargetMode="External"/><Relationship Id="rId71" Type="http://schemas.openxmlformats.org/officeDocument/2006/relationships/hyperlink" Target="https://www.ncbi.nlm.nih.gov/books/n/tip59/appg/def-item/appg.gl1-d20/" TargetMode="External"/><Relationship Id="rId92" Type="http://schemas.openxmlformats.org/officeDocument/2006/relationships/hyperlink" Target="https://www.ncbi.nlm.nih.gov/books/n/tip59/appg/def-item/appg.gl1-d1/" TargetMode="External"/><Relationship Id="rId2" Type="http://schemas.openxmlformats.org/officeDocument/2006/relationships/styles" Target="styles.xml"/><Relationship Id="rId29" Type="http://schemas.openxmlformats.org/officeDocument/2006/relationships/hyperlink" Target="https://www.ncbi.nlm.nih.gov/books/n/tip59/appg/def-item/appg.gl1-d15/" TargetMode="External"/><Relationship Id="rId24" Type="http://schemas.openxmlformats.org/officeDocument/2006/relationships/hyperlink" Target="https://www.ncbi.nlm.nih.gov/books/NBK248425/" TargetMode="External"/><Relationship Id="rId40" Type="http://schemas.openxmlformats.org/officeDocument/2006/relationships/hyperlink" Target="https://www.ncbi.nlm.nih.gov/books/n/tip59/appg/def-item/appg.gl1-d24/" TargetMode="External"/><Relationship Id="rId45" Type="http://schemas.openxmlformats.org/officeDocument/2006/relationships/hyperlink" Target="https://www.ncbi.nlm.nih.gov/books/n/tip59/appg/def-item/appg.gl1-d1/" TargetMode="External"/><Relationship Id="rId66" Type="http://schemas.openxmlformats.org/officeDocument/2006/relationships/hyperlink" Target="https://www.ncbi.nlm.nih.gov/books/n/tip59/appg/def-item/appg.gl1-d1/" TargetMode="External"/><Relationship Id="rId87" Type="http://schemas.openxmlformats.org/officeDocument/2006/relationships/hyperlink" Target="https://www.ncbi.nlm.nih.gov/books/n/tip59/appg/def-item/appg.gl1-d24/" TargetMode="External"/><Relationship Id="rId110" Type="http://schemas.openxmlformats.org/officeDocument/2006/relationships/hyperlink" Target="https://www.ncbi.nlm.nih.gov/books/n/tip59/appg/def-item/appg.gl1-d1/" TargetMode="External"/><Relationship Id="rId115" Type="http://schemas.openxmlformats.org/officeDocument/2006/relationships/hyperlink" Target="https://www.ncbi.nlm.nih.gov/books/n/tip59/appg/def-item/appg.gl1-d15/" TargetMode="External"/><Relationship Id="rId131" Type="http://schemas.openxmlformats.org/officeDocument/2006/relationships/hyperlink" Target="http://qualquant.org/wp-content/uploads/ethnoecology/Hunn%202002.pdf" TargetMode="External"/><Relationship Id="rId61" Type="http://schemas.openxmlformats.org/officeDocument/2006/relationships/hyperlink" Target="https://www.ncbi.nlm.nih.gov/books/n/tip59/appg/def-item/appg.gl1-d1/" TargetMode="External"/><Relationship Id="rId82" Type="http://schemas.openxmlformats.org/officeDocument/2006/relationships/hyperlink" Target="https://www.ncbi.nlm.nih.gov/books/n/tip59/appg/def-item/appg.gl1-d24/" TargetMode="External"/><Relationship Id="rId19" Type="http://schemas.openxmlformats.org/officeDocument/2006/relationships/hyperlink" Target="https://www.ncbi.nlm.nih.gov/books/NBK248425/" TargetMode="External"/><Relationship Id="rId14" Type="http://schemas.openxmlformats.org/officeDocument/2006/relationships/hyperlink" Target="https://www.researchgate.net/profile/Francisco_Zorondo-Rodriguez/publication/226460246_Relationships_Between_Religious_Beliefs_and_Mountain_Pasture_Uses_A_Case_Study_in_the_High_Atlas_Mountains_of_Marrakech_Morocco/links/0f3175323a93949767000000.p" TargetMode="External"/><Relationship Id="rId30" Type="http://schemas.openxmlformats.org/officeDocument/2006/relationships/hyperlink" Target="https://www.ncbi.nlm.nih.gov/books/n/tip59/appg/def-item/appg.gl1-d15/" TargetMode="External"/><Relationship Id="rId35" Type="http://schemas.openxmlformats.org/officeDocument/2006/relationships/hyperlink" Target="https://www.ncbi.nlm.nih.gov/books/NBK248425/" TargetMode="External"/><Relationship Id="rId56" Type="http://schemas.openxmlformats.org/officeDocument/2006/relationships/hyperlink" Target="https://www.ncbi.nlm.nih.gov/books/n/tip59/appg/def-item/appg.gl1-d1/" TargetMode="External"/><Relationship Id="rId77" Type="http://schemas.openxmlformats.org/officeDocument/2006/relationships/hyperlink" Target="https://www.ncbi.nlm.nih.gov/books/n/tip59/appg/def-item/appg.gl1-d24/" TargetMode="External"/><Relationship Id="rId100" Type="http://schemas.openxmlformats.org/officeDocument/2006/relationships/hyperlink" Target="https://www.ncbi.nlm.nih.gov/books/n/tip59/appg/def-item/appg.gl1-d24/" TargetMode="External"/><Relationship Id="rId105" Type="http://schemas.openxmlformats.org/officeDocument/2006/relationships/hyperlink" Target="https://www.ncbi.nlm.nih.gov/books/n/tip59/appg/def-item/appg.gl1-d1/" TargetMode="External"/><Relationship Id="rId126" Type="http://schemas.openxmlformats.org/officeDocument/2006/relationships/hyperlink" Target="https://www.ncbi.nlm.nih.gov/books/n/tip59/appg/def-item/appg.gl1-d1/" TargetMode="External"/><Relationship Id="rId8" Type="http://schemas.openxmlformats.org/officeDocument/2006/relationships/hyperlink" Target="https://www.ncbi.nlm.nih.gov/pmc/articles/PMC5026296/" TargetMode="External"/><Relationship Id="rId51" Type="http://schemas.openxmlformats.org/officeDocument/2006/relationships/hyperlink" Target="https://www.ncbi.nlm.nih.gov/books/NBK248425/" TargetMode="External"/><Relationship Id="rId72" Type="http://schemas.openxmlformats.org/officeDocument/2006/relationships/hyperlink" Target="https://www.ncbi.nlm.nih.gov/books/NBK248425/" TargetMode="External"/><Relationship Id="rId93" Type="http://schemas.openxmlformats.org/officeDocument/2006/relationships/hyperlink" Target="https://www.ncbi.nlm.nih.gov/books/NBK248425/" TargetMode="External"/><Relationship Id="rId98" Type="http://schemas.openxmlformats.org/officeDocument/2006/relationships/hyperlink" Target="https://www.ncbi.nlm.nih.gov/books/NBK248425/" TargetMode="External"/><Relationship Id="rId121" Type="http://schemas.openxmlformats.org/officeDocument/2006/relationships/hyperlink" Target="https://www.ncbi.nlm.nih.gov/books/n/tip59/appg/def-item/appg.gl1-d1/" TargetMode="External"/><Relationship Id="rId3" Type="http://schemas.openxmlformats.org/officeDocument/2006/relationships/settings" Target="settings.xml"/><Relationship Id="rId25" Type="http://schemas.openxmlformats.org/officeDocument/2006/relationships/hyperlink" Target="https://www.ncbi.nlm.nih.gov/books/n/tip59/appg/def-item/appg.gl1-d34/" TargetMode="External"/><Relationship Id="rId46" Type="http://schemas.openxmlformats.org/officeDocument/2006/relationships/hyperlink" Target="https://www.ncbi.nlm.nih.gov/books/NBK248425/" TargetMode="External"/><Relationship Id="rId67" Type="http://schemas.openxmlformats.org/officeDocument/2006/relationships/hyperlink" Target="https://www.ncbi.nlm.nih.gov/books/NBK248425/" TargetMode="External"/><Relationship Id="rId116" Type="http://schemas.openxmlformats.org/officeDocument/2006/relationships/hyperlink" Target="https://www.ncbi.nlm.nih.gov/books/n/tip59/appg/def-item/appg.gl1-d1/" TargetMode="External"/><Relationship Id="rId20" Type="http://schemas.openxmlformats.org/officeDocument/2006/relationships/hyperlink" Target="https://www.ncbi.nlm.nih.gov/books/NBK248425/" TargetMode="External"/><Relationship Id="rId41" Type="http://schemas.openxmlformats.org/officeDocument/2006/relationships/hyperlink" Target="https://www.ncbi.nlm.nih.gov/books/NBK248425/" TargetMode="External"/><Relationship Id="rId62" Type="http://schemas.openxmlformats.org/officeDocument/2006/relationships/hyperlink" Target="https://www.ncbi.nlm.nih.gov/books/NBK248425/" TargetMode="External"/><Relationship Id="rId83" Type="http://schemas.openxmlformats.org/officeDocument/2006/relationships/hyperlink" Target="https://www.ncbi.nlm.nih.gov/books/n/tip59/appg/def-item/appg.gl1-d1/" TargetMode="External"/><Relationship Id="rId88" Type="http://schemas.openxmlformats.org/officeDocument/2006/relationships/hyperlink" Target="https://www.ncbi.nlm.nih.gov/books/n/tip59/appg/def-item/appg.gl1-d20/" TargetMode="External"/><Relationship Id="rId111" Type="http://schemas.openxmlformats.org/officeDocument/2006/relationships/hyperlink" Target="https://www.ncbi.nlm.nih.gov/books/n/tip59/appg/def-item/appg.gl1-d24/" TargetMode="External"/><Relationship Id="rId132" Type="http://schemas.openxmlformats.org/officeDocument/2006/relationships/image" Target="media/image2.png"/><Relationship Id="rId15" Type="http://schemas.openxmlformats.org/officeDocument/2006/relationships/image" Target="media/image1.png"/><Relationship Id="rId36" Type="http://schemas.openxmlformats.org/officeDocument/2006/relationships/hyperlink" Target="https://www.ncbi.nlm.nih.gov/books/n/tip59/appg/def-item/appg.gl1-d1/" TargetMode="External"/><Relationship Id="rId57" Type="http://schemas.openxmlformats.org/officeDocument/2006/relationships/hyperlink" Target="https://www.ncbi.nlm.nih.gov/books/n/tip59/appg/def-item/appg.gl1-d1/" TargetMode="External"/><Relationship Id="rId106" Type="http://schemas.openxmlformats.org/officeDocument/2006/relationships/hyperlink" Target="https://www.ncbi.nlm.nih.gov/books/NBK248425/" TargetMode="External"/><Relationship Id="rId127" Type="http://schemas.openxmlformats.org/officeDocument/2006/relationships/hyperlink" Target="https://www.ncbi.nlm.nih.gov/books/n/tip59/appg/def-item/appg.gl1-d3/" TargetMode="External"/><Relationship Id="rId10" Type="http://schemas.openxmlformats.org/officeDocument/2006/relationships/hyperlink" Target="https://www.ncbi.nlm.nih.gov/pmc/articles/PMC5026296/" TargetMode="External"/><Relationship Id="rId31" Type="http://schemas.openxmlformats.org/officeDocument/2006/relationships/hyperlink" Target="https://www.ncbi.nlm.nih.gov/books/n/tip59/appg/def-item/appg.gl1-d1/" TargetMode="External"/><Relationship Id="rId52" Type="http://schemas.openxmlformats.org/officeDocument/2006/relationships/hyperlink" Target="https://www.ncbi.nlm.nih.gov/books/n/tip59/appg/def-item/appg.gl1-d1/" TargetMode="External"/><Relationship Id="rId73" Type="http://schemas.openxmlformats.org/officeDocument/2006/relationships/hyperlink" Target="https://www.ncbi.nlm.nih.gov/books/n/tip59/appg/def-item/appg.gl1-d24/" TargetMode="External"/><Relationship Id="rId78" Type="http://schemas.openxmlformats.org/officeDocument/2006/relationships/hyperlink" Target="https://www.ncbi.nlm.nih.gov/books/n/tip59/appg/def-item/appg.gl1-d24/" TargetMode="External"/><Relationship Id="rId94" Type="http://schemas.openxmlformats.org/officeDocument/2006/relationships/hyperlink" Target="https://www.ncbi.nlm.nih.gov/books/NBK248425/" TargetMode="External"/><Relationship Id="rId99" Type="http://schemas.openxmlformats.org/officeDocument/2006/relationships/hyperlink" Target="https://www.ncbi.nlm.nih.gov/books/n/tip59/appg/def-item/appg.gl1-d1/" TargetMode="External"/><Relationship Id="rId101" Type="http://schemas.openxmlformats.org/officeDocument/2006/relationships/hyperlink" Target="https://www.ncbi.nlm.nih.gov/books/n/tip59/appg/def-item/appg.gl1-d24/" TargetMode="External"/><Relationship Id="rId122" Type="http://schemas.openxmlformats.org/officeDocument/2006/relationships/hyperlink" Target="https://www.ncbi.nlm.nih.gov/books/NBK248425/" TargetMode="External"/><Relationship Id="rId4" Type="http://schemas.openxmlformats.org/officeDocument/2006/relationships/webSettings" Target="webSettings.xml"/><Relationship Id="rId9" Type="http://schemas.openxmlformats.org/officeDocument/2006/relationships/hyperlink" Target="https://www.ncbi.nlm.nih.gov/pmc/articles/PMC5026296/" TargetMode="External"/><Relationship Id="rId26" Type="http://schemas.openxmlformats.org/officeDocument/2006/relationships/hyperlink" Target="https://www.ncbi.nlm.nih.gov/books/NBK248425/" TargetMode="External"/><Relationship Id="rId47" Type="http://schemas.openxmlformats.org/officeDocument/2006/relationships/hyperlink" Target="https://www.ncbi.nlm.nih.gov/books/n/tip59/appg/def-item/appg.gl1-d3/" TargetMode="External"/><Relationship Id="rId68" Type="http://schemas.openxmlformats.org/officeDocument/2006/relationships/hyperlink" Target="https://www.ncbi.nlm.nih.gov/books/n/tip59/appg/def-item/appg.gl1-d1/" TargetMode="External"/><Relationship Id="rId89" Type="http://schemas.openxmlformats.org/officeDocument/2006/relationships/hyperlink" Target="https://www.ncbi.nlm.nih.gov/books/n/tip59/appg/def-item/appg.gl1-d1/" TargetMode="External"/><Relationship Id="rId112" Type="http://schemas.openxmlformats.org/officeDocument/2006/relationships/hyperlink" Target="https://www.ncbi.nlm.nih.gov/books/n/tip59/appg/def-item/appg.gl1-d1/" TargetMode="External"/><Relationship Id="rId13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5404</Words>
  <Characters>30805</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dc:creator>
  <cp:keywords/>
  <dc:description/>
  <cp:lastModifiedBy>Ian Fitzpatrick</cp:lastModifiedBy>
  <cp:revision>2</cp:revision>
  <dcterms:created xsi:type="dcterms:W3CDTF">2019-06-06T12:40:00Z</dcterms:created>
  <dcterms:modified xsi:type="dcterms:W3CDTF">2019-06-06T12:40:00Z</dcterms:modified>
</cp:coreProperties>
</file>