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Calibri" w:hAnsi="Calibri" w:cs="Calibri"/>
          <w:sz w:val="48"/>
          <w:szCs w:val="48"/>
        </w:rPr>
      </w:pPr>
      <w:r>
        <w:rPr>
          <w:rFonts w:cs="Calibri"/>
          <w:sz w:val="48"/>
          <w:szCs w:val="48"/>
        </w:rPr>
      </w:r>
    </w:p>
    <w:p>
      <w:pPr>
        <w:pStyle w:val="Heading1"/>
        <w:tabs>
          <w:tab w:val="clear" w:pos="708"/>
          <w:tab w:val="left" w:pos="0" w:leader="none"/>
        </w:tabs>
        <w:rPr>
          <w:rFonts w:ascii="Calibri" w:hAnsi="Calibri" w:cs="Calibri"/>
          <w:sz w:val="48"/>
          <w:szCs w:val="48"/>
        </w:rPr>
      </w:pPr>
      <w:r>
        <w:rPr>
          <w:rFonts w:cs="Calibri" w:ascii="Calibri" w:hAnsi="Calibri"/>
          <w:sz w:val="48"/>
          <w:szCs w:val="48"/>
        </w:rPr>
      </w:r>
    </w:p>
    <w:p>
      <w:pPr>
        <w:pStyle w:val="Heading1"/>
        <w:tabs>
          <w:tab w:val="clear" w:pos="708"/>
          <w:tab w:val="left" w:pos="0" w:leader="none"/>
        </w:tabs>
        <w:rPr>
          <w:rFonts w:ascii="Calibri" w:hAnsi="Calibri" w:cs="Calibri"/>
          <w:sz w:val="48"/>
          <w:szCs w:val="48"/>
        </w:rPr>
      </w:pPr>
      <w:r>
        <w:rPr>
          <w:rFonts w:cs="Calibri" w:ascii="Calibri" w:hAnsi="Calibri"/>
          <w:sz w:val="48"/>
          <w:szCs w:val="48"/>
        </w:rPr>
      </w:r>
    </w:p>
    <w:p>
      <w:pPr>
        <w:pStyle w:val="Heading1"/>
        <w:tabs>
          <w:tab w:val="clear" w:pos="708"/>
          <w:tab w:val="left" w:pos="0" w:leader="none"/>
        </w:tabs>
        <w:rPr>
          <w:rFonts w:ascii="Calibri" w:hAnsi="Calibri" w:cs="Calibri"/>
          <w:sz w:val="48"/>
          <w:szCs w:val="48"/>
        </w:rPr>
      </w:pPr>
      <w:hyperlink r:id="rId2">
        <w:r>
          <w:rPr>
            <w:rFonts w:eastAsia="Times New Roman" w:cs="Calibri" w:ascii="Calibri" w:hAnsi="Calibri" w:asciiTheme="minorHAnsi" w:hAnsiTheme="minorHAnsi"/>
            <w:b/>
            <w:color w:val="auto"/>
            <w:kern w:val="2"/>
            <w:sz w:val="48"/>
            <w:szCs w:val="48"/>
            <w:lang w:val="es-ES" w:eastAsia="zh-CN" w:bidi="ar-SA"/>
          </w:rPr>
          <w:t>Agroecología: un Enfoque de Transformación Sustentable de los Sistemas Agroalimentarios – Módulo R - Consumo alimentario desde la Agroecología</w:t>
        </w:r>
      </w:hyperlink>
    </w:p>
    <w:p>
      <w:pPr>
        <w:pStyle w:val="Normal"/>
        <w:tabs>
          <w:tab w:val="clear" w:pos="708"/>
          <w:tab w:val="left" w:pos="0" w:leader="none"/>
        </w:tabs>
        <w:rPr>
          <w:rFonts w:ascii="Calibri" w:hAnsi="Calibri" w:cs="Calibri"/>
          <w:sz w:val="48"/>
          <w:szCs w:val="48"/>
        </w:rPr>
      </w:pPr>
      <w:r>
        <w:rPr>
          <w:rFonts w:cs="Calibri"/>
          <w:sz w:val="48"/>
          <w:szCs w:val="48"/>
        </w:rPr>
      </w:r>
    </w:p>
    <w:p>
      <w:pPr>
        <w:pStyle w:val="Normal"/>
        <w:rPr>
          <w:rFonts w:ascii="Calibri" w:hAnsi="Calibri" w:cs="Calibri"/>
          <w:sz w:val="32"/>
          <w:szCs w:val="32"/>
        </w:rPr>
      </w:pPr>
      <w:r>
        <w:rPr>
          <w:rFonts w:cs="Calibri"/>
          <w:sz w:val="32"/>
          <w:szCs w:val="32"/>
        </w:rPr>
      </w:r>
    </w:p>
    <w:p>
      <w:pPr>
        <w:pStyle w:val="Normal"/>
        <w:suppressLineNumbers/>
        <w:suppressAutoHyphens w:val="true"/>
        <w:spacing w:lineRule="auto" w:line="240" w:before="0" w:after="0"/>
        <w:jc w:val="center"/>
        <w:textAlignment w:val="baseline"/>
        <w:rPr/>
      </w:pPr>
      <w:r>
        <w:rPr>
          <w:rFonts w:eastAsia="Calibri" w:cs="Calibri" w:cstheme="minorHAnsi"/>
          <w:b w:val="false"/>
          <w:bCs w:val="false"/>
          <w:color w:val="00000A"/>
          <w:kern w:val="2"/>
          <w:sz w:val="22"/>
          <w:szCs w:val="22"/>
          <w:u w:val="none"/>
          <w:lang w:val="es-ES" w:eastAsia="en-US" w:bidi="ar-SA"/>
        </w:rPr>
        <w:t>El consumo alimentario desde la Agroecología</w:t>
      </w:r>
    </w:p>
    <w:p>
      <w:pPr>
        <w:pStyle w:val="Normal"/>
        <w:suppressLineNumbers/>
        <w:suppressAutoHyphens w:val="true"/>
        <w:spacing w:lineRule="auto" w:line="240" w:before="0" w:after="0"/>
        <w:jc w:val="center"/>
        <w:textAlignment w:val="baseline"/>
        <w:rPr>
          <w:rFonts w:ascii="Calibri" w:hAnsi="Calibri" w:cs="Calibri"/>
          <w:sz w:val="32"/>
          <w:szCs w:val="32"/>
        </w:rPr>
      </w:pPr>
      <w:r>
        <w:rPr>
          <w:rFonts w:eastAsia="Calibri" w:cs="Calibri" w:cstheme="minorHAnsi"/>
          <w:b w:val="false"/>
          <w:bCs w:val="false"/>
          <w:color w:val="00000A"/>
          <w:kern w:val="2"/>
          <w:sz w:val="22"/>
          <w:szCs w:val="22"/>
          <w:u w:val="none"/>
          <w:lang w:val="es-ES" w:eastAsia="en-US" w:bidi="ar-SA"/>
        </w:rPr>
        <w:t/>
      </w:r>
    </w:p>
    <w:p>
      <w:pPr>
        <w:pStyle w:val="Heading1"/>
        <w:tabs>
          <w:tab w:val="clear" w:pos="708"/>
          <w:tab w:val="left" w:pos="0" w:leader="none"/>
        </w:tabs>
        <w:rPr>
          <w:rFonts w:ascii="Calibri" w:hAnsi="Calibri" w:cs="Calibri"/>
          <w:color w:val="FF6600"/>
          <w:sz w:val="48"/>
          <w:szCs w:val="48"/>
        </w:rPr>
      </w:pPr>
      <w:r>
        <w:rPr>
          <w:rFonts w:cs="Calibri" w:ascii="Calibri" w:hAnsi="Calibri"/>
          <w:color w:val="FF6600"/>
          <w:sz w:val="48"/>
          <w:szCs w:val="48"/>
        </w:rPr>
      </w:r>
    </w:p>
    <w:p>
      <w:pPr>
        <w:pStyle w:val="Heading1"/>
        <w:tabs>
          <w:tab w:val="clear" w:pos="708"/>
          <w:tab w:val="left" w:pos="0" w:leader="none"/>
        </w:tabs>
        <w:rPr>
          <w:rFonts w:ascii="Calibri" w:hAnsi="Calibri" w:cs="Calibri"/>
          <w:color w:val="70AD47"/>
          <w:sz w:val="48"/>
          <w:szCs w:val="48"/>
        </w:rPr>
      </w:pPr>
      <w:r>
        <w:rPr>
          <w:rFonts w:cs="Calibri" w:ascii="Calibri" w:hAnsi="Calibri"/>
          <w:color w:val="70AD47"/>
          <w:sz w:val="48"/>
          <w:szCs w:val="48"/>
        </w:rPr>
        <w:t>GUÍA DOCENTE </w:t>
      </w:r>
    </w:p>
    <w:p>
      <w:pPr>
        <w:pStyle w:val="Normal"/>
        <w:tabs>
          <w:tab w:val="clear" w:pos="708"/>
          <w:tab w:val="left" w:pos="0" w:leader="none"/>
        </w:tabs>
        <w:rPr>
          <w:rFonts w:ascii="Calibri" w:hAnsi="Calibri" w:cs="Calibri"/>
          <w:color w:val="70AD47"/>
          <w:sz w:val="48"/>
          <w:szCs w:val="48"/>
        </w:rPr>
      </w:pPr>
      <w:r>
        <w:rPr>
          <w:rFonts w:cs="Calibri"/>
          <w:color w:val="70AD47"/>
          <w:sz w:val="48"/>
          <w:szCs w:val="48"/>
        </w:rPr>
      </w:r>
    </w:p>
    <w:p>
      <w:pPr>
        <w:pStyle w:val="Normal"/>
        <w:tabs>
          <w:tab w:val="clear" w:pos="708"/>
          <w:tab w:val="left" w:pos="0" w:leader="none"/>
        </w:tabs>
        <w:rPr>
          <w:rFonts w:ascii="Calibri" w:hAnsi="Calibri" w:cs="Calibri"/>
          <w:color w:val="70AD47"/>
          <w:sz w:val="48"/>
          <w:szCs w:val="48"/>
        </w:rPr>
      </w:pPr>
      <w:r>
        <w:rPr>
          <w:rFonts w:cs="Calibri"/>
          <w:color w:val="70AD47"/>
          <w:sz w:val="48"/>
          <w:szCs w:val="48"/>
        </w:rPr>
        <w:drawing>
          <wp:anchor behindDoc="0" distT="0" distB="0" distL="0" distR="0" simplePos="0" locked="0" layoutInCell="1" allowOverlap="1" relativeHeight="5">
            <wp:simplePos x="0" y="0"/>
            <wp:positionH relativeFrom="column">
              <wp:align>center</wp:align>
            </wp:positionH>
            <wp:positionV relativeFrom="paragraph">
              <wp:posOffset>635</wp:posOffset>
            </wp:positionV>
            <wp:extent cx="2340610" cy="288036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3"/>
                    <a:stretch>
                      <a:fillRect/>
                    </a:stretch>
                  </pic:blipFill>
                  <pic:spPr bwMode="auto">
                    <a:xfrm>
                      <a:off x="0" y="0"/>
                      <a:ext cx="2340610" cy="2880360"/>
                    </a:xfrm>
                    <a:prstGeom prst="rect">
                      <a:avLst/>
                    </a:prstGeom>
                  </pic:spPr>
                </pic:pic>
              </a:graphicData>
            </a:graphic>
          </wp:anchor>
        </w:drawing>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hanging="0"/>
        <w:jc w:val="center"/>
        <w:rPr>
          <w:rFonts w:cs="Calibri" w:cstheme="minorHAnsi"/>
          <w:b/>
          <w:b/>
          <w:sz w:val="24"/>
          <w:szCs w:val="24"/>
        </w:rPr>
      </w:pPr>
      <w:r>
        <w:rPr>
          <w:rFonts w:eastAsia="Arial" w:cs="Calibri" w:cstheme="minorHAnsi"/>
          <w:b/>
          <w:sz w:val="24"/>
          <w:szCs w:val="24"/>
          <w:u w:val="none"/>
        </w:rPr>
        <w:t>INSTRUCCIONES PARA LA ELABORACIÓN Y TRAMITACIÓN DE LAS GUÍAS DOCENTES DE LAS ASIGNATURAS</w:t>
      </w:r>
    </w:p>
    <w:p>
      <w:pPr>
        <w:pStyle w:val="ListParagraph"/>
        <w:spacing w:lineRule="auto" w:line="312" w:before="120" w:after="120"/>
        <w:ind w:left="360" w:hanging="0"/>
        <w:contextualSpacing/>
        <w:jc w:val="left"/>
        <w:rPr>
          <w:rFonts w:eastAsia="Arial" w:cs="Calibri" w:cstheme="minorHAnsi"/>
          <w:sz w:val="22"/>
          <w:szCs w:val="22"/>
          <w:u w:val="none"/>
        </w:rPr>
      </w:pPr>
      <w:r>
        <w:rPr>
          <w:rFonts w:eastAsia="Arial" w:cs="Calibri" w:cstheme="minorHAnsi"/>
          <w:sz w:val="22"/>
          <w:szCs w:val="22"/>
          <w:u w:val="none"/>
        </w:rPr>
      </w:r>
    </w:p>
    <w:p>
      <w:pPr>
        <w:sectPr>
          <w:headerReference w:type="default" r:id="rId4"/>
          <w:footerReference w:type="default" r:id="rId5"/>
          <w:type w:val="nextPage"/>
          <w:pgSz w:w="11906" w:h="16838"/>
          <w:pgMar w:left="1701" w:right="1701" w:header="1417" w:top="1717" w:footer="708" w:bottom="1417" w:gutter="0"/>
          <w:pgNumType w:fmt="decimal"/>
          <w:formProt w:val="false"/>
          <w:textDirection w:val="lrTb"/>
          <w:docGrid w:type="default" w:linePitch="360" w:charSpace="4096"/>
        </w:sectPr>
        <w:pStyle w:val="ListParagraph"/>
        <w:spacing w:lineRule="auto" w:line="312" w:before="120" w:after="120"/>
        <w:ind w:left="360" w:hanging="0"/>
        <w:contextualSpacing/>
        <w:jc w:val="left"/>
        <w:rPr>
          <w:rFonts w:ascii="Calibri" w:hAnsi="Calibri" w:cs="Calibri"/>
          <w:color w:val="70AD47"/>
          <w:sz w:val="48"/>
          <w:szCs w:val="48"/>
        </w:rPr>
      </w:pPr>
      <w:r>
        <w:rPr>
          <w:rFonts w:eastAsia="Arial" w:cs="Calibri" w:cstheme="minorHAnsi"/>
          <w:sz w:val="22"/>
          <w:szCs w:val="22"/>
          <w:u w:val="none"/>
        </w:rPr>
        <w:t/>
      </w:r>
    </w:p>
    <w:p>
      <w:pPr>
        <w:pStyle w:val="Normal"/>
        <w:rPr>
          <w:rFonts w:eastAsia="Arial" w:cs="Calibri" w:cstheme="minorHAnsi"/>
          <w:sz w:val="22"/>
          <w:szCs w:val="22"/>
          <w:u w:val="none"/>
        </w:rPr>
      </w:pPr>
      <w:r>
        <w:rPr>
          <w:rFonts w:eastAsia="Arial" w:cs="Calibri" w:cstheme="minorHAnsi"/>
          <w:sz w:val="22"/>
          <w:szCs w:val="22"/>
          <w:u w:val="none"/>
        </w:rPr>
      </w:r>
    </w:p>
    <w:tbl>
      <w:tblPr>
        <w:tblW w:w="9781" w:type="dxa"/>
        <w:jc w:val="left"/>
        <w:tblInd w:w="-522" w:type="dxa"/>
        <w:tblCellMar>
          <w:top w:w="55" w:type="dxa"/>
          <w:left w:w="55" w:type="dxa"/>
          <w:bottom w:w="55" w:type="dxa"/>
          <w:right w:w="55" w:type="dxa"/>
        </w:tblCellMar>
        <w:tblLook w:val="04a0" w:noHBand="0" w:noVBand="1" w:firstColumn="1" w:lastRow="0" w:lastColumn="0" w:firstRow="1"/>
      </w:tblPr>
      <w:tblGrid>
        <w:gridCol w:w="2445"/>
        <w:gridCol w:w="1333"/>
        <w:gridCol w:w="1286"/>
        <w:gridCol w:w="1285"/>
        <w:gridCol w:w="1288"/>
        <w:gridCol w:w="1072"/>
        <w:gridCol w:w="1071"/>
      </w:tblGrid>
      <w:tr>
        <w:trPr/>
        <w:tc>
          <w:tcPr>
            <w:tcW w:w="2445" w:type="dxa"/>
            <w:tcBorders>
              <w:top w:val="single" w:sz="4" w:space="0" w:color="000000"/>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val="es-ES" w:eastAsia="zh-CN" w:bidi="hi-IN"/>
              </w:rPr>
              <w:t>Tipo de Acción Formativa</w:t>
            </w:r>
          </w:p>
        </w:tc>
        <w:tc>
          <w:tcPr>
            <w:tcW w:w="7335" w:type="dxa"/>
            <w:gridSpan w:val="6"/>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 xml:space="preserve">Máster Universitario</w:t>
            </w:r>
          </w:p>
        </w:tc>
      </w:tr>
      <w:tr>
        <w:trPr/>
        <w:tc>
          <w:tcPr>
            <w:tcW w:w="2445" w:type="dxa"/>
            <w:tcBorders>
              <w:top w:val="single" w:sz="4" w:space="0" w:color="000000"/>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val="es-ES" w:eastAsia="zh-CN" w:bidi="hi-IN"/>
              </w:rPr>
              <w:t> Nombre de la Acción Formativa</w:t>
            </w:r>
          </w:p>
        </w:tc>
        <w:tc>
          <w:tcPr>
            <w:tcW w:w="7335" w:type="dxa"/>
            <w:gridSpan w:val="6"/>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 xml:space="preserve">Agroecología: un Enfoque de Transformación Sustentable de los Sistemas Agroalimentarios</w:t>
            </w:r>
          </w:p>
        </w:tc>
      </w:tr>
      <w:tr>
        <w:trPr/>
        <w:tc>
          <w:tcPr>
            <w:tcW w:w="2445" w:type="dxa"/>
            <w:tcBorders>
              <w:top w:val="single" w:sz="4" w:space="0" w:color="000000"/>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Denominación de la asignatura</w:t>
            </w:r>
          </w:p>
        </w:tc>
        <w:tc>
          <w:tcPr>
            <w:tcW w:w="7335" w:type="dxa"/>
            <w:gridSpan w:val="6"/>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jc w:val="left"/>
              <w:textAlignment w:val="baseline"/>
              <w:rPr>
                <w:u w:val="none"/>
              </w:rPr>
            </w:pPr>
            <w:r>
              <w:rPr>
                <w:rFonts w:eastAsia="Calibri" w:cs="Calibri" w:cstheme="minorHAnsi"/>
                <w:b w:val="false"/>
                <w:bCs w:val="false"/>
                <w:color w:val="00000A"/>
                <w:kern w:val="2"/>
                <w:sz w:val="22"/>
                <w:szCs w:val="22"/>
                <w:u w:val="none"/>
                <w:lang w:val="es-ES" w:eastAsia="en-US" w:bidi="ar-SA"/>
              </w:rPr>
              <w:t>El consumo alimentario desde la Agroecología</w:t>
            </w:r>
          </w:p>
          <w:p>
            <w:pPr>
              <w:pStyle w:val="Normal"/>
              <w:widowControl w:val="false"/>
              <w:suppressLineNumbers/>
              <w:suppressAutoHyphens w:val="true"/>
              <w:spacing w:lineRule="auto" w:line="240" w:before="0" w:after="0"/>
              <w:contextualSpacing/>
              <w:jc w:val="left"/>
              <w:textAlignment w:val="baseline"/>
              <w:rPr>
                <w:u w:val="none"/>
              </w:rPr>
            </w:pPr>
            <w:r>
              <w:rPr>
                <w:rFonts w:eastAsia="Calibri" w:cs="Calibri" w:cstheme="minorHAnsi"/>
                <w:b w:val="false"/>
                <w:bCs w:val="false"/>
                <w:color w:val="00000A"/>
                <w:kern w:val="2"/>
                <w:sz w:val="22"/>
                <w:szCs w:val="22"/>
                <w:u w:val="none"/>
                <w:lang w:val="es-ES" w:eastAsia="en-US" w:bidi="ar-SA"/>
              </w:rPr>
              <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val="es-ES" w:eastAsia="zh-CN" w:bidi="hi-IN"/>
              </w:rPr>
              <w:t>Módulo</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Módulo R - Consumo alimentario desde la Agroecología</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Curso académico</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 xml:space="preserve">2024-2025</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Tipología</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Optativa</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ECTS</w:t>
            </w:r>
          </w:p>
        </w:tc>
        <w:tc>
          <w:tcPr>
            <w:tcW w:w="1333" w:type="dxa"/>
            <w:tcBorders>
              <w:left w:val="single" w:sz="4" w:space="0" w:color="000000"/>
              <w:bottom w:val="single" w:sz="4" w:space="0" w:color="000000"/>
            </w:tcBorders>
            <w:shd w:color="auto" w:fill="FFFFFF" w:themeFill="background1"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Teoría:</w:t>
            </w:r>
          </w:p>
        </w:tc>
        <w:tc>
          <w:tcPr>
            <w:tcW w:w="1286" w:type="dxa"/>
            <w:tcBorders>
              <w:left w:val="single" w:sz="4" w:space="0" w:color="000000"/>
              <w:bottom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3.00</w:t>
            </w:r>
          </w:p>
        </w:tc>
        <w:tc>
          <w:tcPr>
            <w:tcW w:w="1285" w:type="dxa"/>
            <w:tcBorders>
              <w:left w:val="single" w:sz="4" w:space="0" w:color="000000"/>
              <w:bottom w:val="single" w:sz="4" w:space="0" w:color="000000"/>
            </w:tcBorders>
            <w:shd w:color="auto" w:fill="FFFFFF" w:themeFill="background1"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Práctica:</w:t>
            </w:r>
          </w:p>
        </w:tc>
        <w:tc>
          <w:tcPr>
            <w:tcW w:w="1288" w:type="dxa"/>
            <w:tcBorders>
              <w:left w:val="single" w:sz="4" w:space="0" w:color="000000"/>
              <w:bottom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lang w:eastAsia="zh-CN" w:bidi="hi-IN"/>
              </w:rPr>
            </w:pPr>
            <w:r>
              <w:rPr>
                <w:rFonts w:eastAsia="NSimSun" w:cs="Calibri" w:cstheme="minorHAnsi"/>
                <w:b w:val="false"/>
                <w:bCs w:val="false"/>
                <w:color w:val="000000"/>
                <w:kern w:val="2"/>
                <w:sz w:val="22"/>
                <w:szCs w:val="22"/>
                <w:lang w:eastAsia="zh-CN" w:bidi="hi-IN"/>
              </w:rPr>
              <w:t>0.00</w:t>
            </w:r>
          </w:p>
        </w:tc>
        <w:tc>
          <w:tcPr>
            <w:tcW w:w="1072" w:type="dxa"/>
            <w:tcBorders>
              <w:left w:val="single" w:sz="4" w:space="0" w:color="000000"/>
              <w:bottom w:val="single" w:sz="4" w:space="0" w:color="000000"/>
              <w:right w:val="single" w:sz="4" w:space="0" w:color="000000"/>
            </w:tcBorders>
            <w:shd w:color="auto" w:fill="FFFFFF" w:themeFill="background1"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Total:</w:t>
            </w:r>
          </w:p>
        </w:tc>
        <w:tc>
          <w:tcPr>
            <w:tcW w:w="1071" w:type="dxa"/>
            <w:tcBorders>
              <w:left w:val="single" w:sz="4" w:space="0" w:color="000000"/>
              <w:bottom w:val="single" w:sz="4" w:space="0" w:color="000000"/>
              <w:right w:val="single" w:sz="4" w:space="0" w:color="000000"/>
            </w:tcBorders>
            <w:shd w:color="auto" w:fill="auto"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3.00</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Modalidad Docente</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PRESENCIAL</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Periodo de impartición</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7 al 11 de abril de 2025</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Web universidad coordinadora</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ascii="Calibri" w:hAnsi="Calibri" w:cs="Calibri"/>
                <w:color w:val="70AD47"/>
                <w:sz w:val="48"/>
                <w:szCs w:val="48"/>
              </w:rPr>
            </w:pPr>
            <w:hyperlink r:id="rId11">
              <w:r>
                <w:rPr>
                  <w:rStyle w:val="Hyperlink"/>
                </w:rPr>
                <w:t>https://www.unia.es/estudios-y-acceso/oferta-academica/masteres-oficiales/master-oficial-en-agroecologia-un-enfoque-para-la-sustentabilidad-rural-2</w:t>
              </w:r>
            </w:hyperlink>
          </w:p>
        </w:tc>
      </w:tr>
      <w:tr>
        <w:trPr>
          <w:trHeight w:val="704" w:hRule="atLeast"/>
        </w:trPr>
        <w:tc>
          <w:tcPr>
            <w:tcW w:w="2445" w:type="dxa"/>
            <w:tcBorders>
              <w:left w:val="single" w:sz="4" w:space="0" w:color="000000"/>
              <w:bottom w:val="single" w:sz="4" w:space="0" w:color="000000"/>
            </w:tcBorders>
            <w:shd w:color="auto" w:fill="92D050" w:val="clear"/>
            <w:vAlign w:val="center"/>
          </w:tcPr>
          <w:p>
            <w:pPr>
              <w:pStyle w:val="Normal"/>
              <w:widowControl w:val="false"/>
              <w:spacing w:before="0" w:after="160"/>
              <w:contextualSpacing/>
              <w:rPr>
                <w:rFonts w:eastAsia="NSimSun" w:cs="Calibri" w:cstheme="minorHAnsi"/>
                <w:color w:val="000000"/>
                <w:kern w:val="2"/>
                <w:lang w:eastAsia="zh-CN" w:bidi="hi-IN"/>
              </w:rPr>
            </w:pPr>
            <w:r>
              <w:rPr/>
              <w:t>Web universidad colaboradora</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pPr>
            <w:hyperlink r:id="rId12">
              <w:r>
                <w:rPr>
                  <w:rStyle w:val="Hyperlink"/>
                </w:rPr>
                <w:t>https://www.uco.es/estudios/idep/agroecologia / https://www.upo.es/postgrado/Master-Oficial-Agroecologia-Un-Enfoque-de-Transformacion-Sustentable-de-los-Sistemas-Agroalimentarios/</w:t>
              </w:r>
            </w:hyperlink>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val="es-ES" w:eastAsia="zh-CN" w:bidi="hi-IN"/>
              </w:rPr>
              <w:t> Idioma/s de impartición</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contextualSpacing/>
              <w:jc w:val="left"/>
              <w:rPr>
                <w:u w:val="none"/>
              </w:rPr>
            </w:pPr>
            <w:r>
              <w:rPr>
                <w:rFonts w:eastAsia="Calibri" w:cs="Calibri" w:cstheme="minorHAnsi"/>
                <w:b w:val="false"/>
                <w:bCs w:val="false"/>
                <w:color w:val="00000A"/>
                <w:sz w:val="22"/>
                <w:szCs w:val="22"/>
                <w:u w:val="none"/>
                <w:lang w:val="es-ES" w:eastAsia="en-US" w:bidi="ar-SA"/>
              </w:rPr>
              <w:t xml:space="preserve">Español</w:t>
            </w:r>
          </w:p>
          <w:p>
            <w:pPr>
              <w:pStyle w:val="Normal"/>
              <w:widowControl w:val="false"/>
              <w:spacing w:lineRule="auto" w:line="240" w:before="0" w:after="0"/>
              <w:contextualSpacing/>
              <w:jc w:val="left"/>
              <w:rPr>
                <w:u w:val="none"/>
              </w:rPr>
            </w:pPr>
            <w:r>
              <w:rPr>
                <w:rFonts w:eastAsia="Calibri" w:cs="Calibri" w:cstheme="minorHAnsi"/>
                <w:b w:val="false"/>
                <w:bCs w:val="false"/>
                <w:color w:val="00000A"/>
                <w:sz w:val="22"/>
                <w:szCs w:val="22"/>
                <w:u w:val="none"/>
                <w:lang w:val="es-ES" w:eastAsia="en-US" w:bidi="ar-SA"/>
              </w:rPr>
              <w:t/>
            </w:r>
          </w:p>
        </w:tc>
      </w:tr>
    </w:tbl>
    <w:p>
      <w:pPr>
        <w:pStyle w:val="Normal"/>
        <w:rPr>
          <w:sz w:val="40"/>
          <w:szCs w:val="40"/>
        </w:rPr>
      </w:pPr>
      <w:r>
        <w:rPr>
          <w:sz w:val="40"/>
          <w:szCs w:val="40"/>
        </w:rPr>
      </w:r>
    </w:p>
    <w:tbl>
      <w:tblPr>
        <w:tblW w:w="9808" w:type="dxa"/>
        <w:jc w:val="left"/>
        <w:tblInd w:w="-561" w:type="dxa"/>
        <w:tblCellMar>
          <w:top w:w="55" w:type="dxa"/>
          <w:left w:w="55" w:type="dxa"/>
          <w:bottom w:w="55" w:type="dxa"/>
          <w:right w:w="55" w:type="dxa"/>
        </w:tblCellMar>
        <w:tblLook w:val="04a0" w:noHBand="0" w:noVBand="1" w:firstColumn="1" w:lastRow="0" w:lastColumn="0" w:firstRow="1"/>
      </w:tblPr>
      <w:tblGrid>
        <w:gridCol w:w="3714"/>
        <w:gridCol w:w="2111"/>
        <w:gridCol w:w="2113"/>
        <w:gridCol w:w="1869"/>
      </w:tblGrid>
      <w:tr>
        <w:trPr/>
        <w:tc>
          <w:tcPr>
            <w:tcW w:w="9807" w:type="dxa"/>
            <w:gridSpan w:val="4"/>
            <w:tcBorders>
              <w:top w:val="single" w:sz="4" w:space="0" w:color="000000"/>
              <w:left w:val="single" w:sz="4" w:space="0" w:color="000000"/>
              <w:bottom w:val="single" w:sz="4" w:space="0" w:color="000000"/>
              <w:right w:val="single" w:sz="4" w:space="0" w:color="000000"/>
            </w:tcBorders>
            <w:shd w:color="auto" w:fill="BFBFBF" w:themeFill="background1" w:themeFillShade="bf" w:val="clear"/>
            <w:vAlign w:val="center"/>
          </w:tcPr>
          <w:p>
            <w:pPr>
              <w:pStyle w:val="Normal"/>
              <w:widowControl w:val="false"/>
              <w:suppressLineNumbers/>
              <w:suppressAutoHyphens w:val="true"/>
              <w:spacing w:lineRule="auto" w:line="240" w:before="0" w:after="0"/>
              <w:contextualSpacing/>
              <w:jc w:val="center"/>
              <w:textAlignment w:val="baseline"/>
              <w:rPr>
                <w:rFonts w:ascii="Calibri" w:hAnsi="Calibri" w:eastAsia="NSimSun" w:cs="Calibri" w:cstheme="minorHAnsi"/>
                <w:b/>
                <w:b/>
                <w:color w:val="000000"/>
                <w:kern w:val="2"/>
                <w:sz w:val="24"/>
                <w:szCs w:val="24"/>
                <w:lang w:val="es-ES" w:eastAsia="zh-CN" w:bidi="hi-IN"/>
              </w:rPr>
            </w:pPr>
            <w:r>
              <w:rPr>
                <w:rFonts w:eastAsia="NSimSun" w:cs="Calibri" w:cstheme="minorHAnsi"/>
                <w:b/>
                <w:color w:val="000000"/>
                <w:kern w:val="2"/>
                <w:sz w:val="24"/>
                <w:szCs w:val="24"/>
                <w:lang w:val="es-ES" w:eastAsia="zh-CN" w:bidi="hi-IN"/>
              </w:rPr>
              <w:t>Responsable/s de la asignatura</w:t>
            </w:r>
          </w:p>
        </w:tc>
      </w:tr>
      <w:tr>
        <w:trPr/>
        <w:tc>
          <w:tcPr>
            <w:tcW w:w="3714" w:type="dxa"/>
            <w:tcBorders>
              <w:top w:val="single" w:sz="4" w:space="0" w:color="000000"/>
              <w:left w:val="single" w:sz="4" w:space="0" w:color="000000"/>
              <w:bottom w:val="single" w:sz="4" w:space="0" w:color="000000"/>
              <w:right w:val="single" w:sz="4" w:space="0" w:color="000000"/>
            </w:tcBorders>
            <w:shd w:color="auto" w:fill="FFFFFF" w:themeFill="background1"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Nombre y apellidos</w:t>
            </w:r>
          </w:p>
        </w:tc>
        <w:tc>
          <w:tcPr>
            <w:tcW w:w="2111" w:type="dxa"/>
            <w:tcBorders>
              <w:top w:val="single" w:sz="4" w:space="0" w:color="000000"/>
              <w:left w:val="single" w:sz="4" w:space="0" w:color="000000"/>
              <w:bottom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Email</w:t>
            </w:r>
          </w:p>
        </w:tc>
        <w:tc>
          <w:tcPr>
            <w:tcW w:w="2113" w:type="dxa"/>
            <w:tcBorders>
              <w:top w:val="single" w:sz="4" w:space="0" w:color="000000"/>
              <w:left w:val="single" w:sz="4" w:space="0" w:color="000000"/>
              <w:bottom w:val="single" w:sz="4" w:space="0" w:color="000000"/>
              <w:right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ascii="Calibri" w:hAnsi="Calibri" w:eastAsia="NSimSun" w:cs="Calibri" w:cstheme="minorHAnsi"/>
                <w:b/>
                <w:b/>
                <w:color w:val="000000"/>
                <w:kern w:val="2"/>
                <w:sz w:val="24"/>
                <w:szCs w:val="24"/>
                <w:lang w:val="es-ES" w:eastAsia="zh-CN" w:bidi="hi-IN"/>
              </w:rPr>
            </w:pPr>
            <w:r>
              <w:rPr>
                <w:rFonts w:eastAsia="NSimSun" w:cs="Calibri" w:cstheme="minorHAnsi"/>
                <w:b/>
                <w:color w:val="000000"/>
                <w:kern w:val="2"/>
                <w:sz w:val="24"/>
                <w:szCs w:val="24"/>
                <w:lang w:val="es-ES" w:eastAsia="zh-CN" w:bidi="hi-IN"/>
              </w:rPr>
              <w:t>Universidad</w:t>
            </w:r>
          </w:p>
        </w:tc>
        <w:tc>
          <w:tcPr>
            <w:tcW w:w="1869" w:type="dxa"/>
            <w:tcBorders>
              <w:top w:val="single" w:sz="4" w:space="0" w:color="000000"/>
              <w:left w:val="single" w:sz="4" w:space="0" w:color="000000"/>
              <w:bottom w:val="single" w:sz="4" w:space="0" w:color="000000"/>
              <w:right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Créditos</w:t>
            </w:r>
          </w:p>
        </w:tc>
      </w:tr>
      <w:tr>
        <w:trPr/>
        <w:tc>
          <w:tcPr>
            <w:tcW w:w="3714" w:type="dxa"/>
            <w:tcBorders>
              <w:left w:val="single" w:sz="4" w:space="0" w:color="000000"/>
              <w:bottom w:val="single" w:sz="4" w:space="0" w:color="000000"/>
              <w:right w:val="single" w:sz="4" w:space="0" w:color="000000"/>
            </w:tcBorders>
            <w:shd w:color="auto" w:fill="FFFFFF" w:themeFill="background1"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David Gallar Hernández</w:t>
            </w:r>
          </w:p>
        </w:tc>
        <w:tc>
          <w:tcPr>
            <w:tcW w:w="2111" w:type="dxa"/>
            <w:tcBorders>
              <w:left w:val="single" w:sz="4" w:space="0" w:color="000000"/>
              <w:bottom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rPr>
                <w:sz w:val="22"/>
                <w:szCs w:val="22"/>
              </w:rPr>
            </w:pPr>
            <w:r>
              <w:rPr>
                <w:rFonts w:cs="Calibri" w:cstheme="minorHAnsi"/>
                <w:sz w:val="22"/>
                <w:szCs w:val="22"/>
              </w:rPr>
              <w:t>***</w:t>
            </w:r>
          </w:p>
        </w:tc>
        <w:tc>
          <w:tcPr>
            <w:tcW w:w="2113" w:type="dxa"/>
            <w:tcBorders>
              <w:left w:val="single" w:sz="4" w:space="0" w:color="000000"/>
              <w:bottom w:val="single" w:sz="4" w:space="0" w:color="000000"/>
              <w:right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UNIVERSIDAD DE CORDOBA</w:t>
            </w:r>
          </w:p>
        </w:tc>
        <w:tc>
          <w:tcPr>
            <w:tcW w:w="1869" w:type="dxa"/>
            <w:tcBorders>
              <w:left w:val="single" w:sz="4" w:space="0" w:color="000000"/>
              <w:bottom w:val="single" w:sz="4" w:space="0" w:color="000000"/>
              <w:right w:val="single" w:sz="4" w:space="0" w:color="000000"/>
            </w:tcBorders>
            <w:shd w:color="auto" w:fill="FFFFFF" w:themeFill="background1" w:val="clear"/>
            <w:tcMar>
              <w:top w:w="0" w:type="dxa"/>
              <w:left w:w="11"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0</w:t>
            </w:r>
          </w:p>
        </w:tc>
      </w:tr>
    </w:tbl>
    <w:p>
      <w:pPr>
        <w:pStyle w:val="Normal"/>
        <w:rPr>
          <w:rFonts w:eastAsia="Arial" w:cs="Calibri" w:cstheme="minorHAnsi"/>
          <w:sz w:val="22"/>
          <w:szCs w:val="22"/>
          <w:u w:val="none"/>
        </w:rPr>
      </w:pPr>
      <w:r>
        <w:rPr>
          <w:rFonts w:eastAsia="Arial" w:cs="Calibri" w:cstheme="minorHAnsi"/>
          <w:sz w:val="22"/>
          <w:szCs w:val="22"/>
          <w:u w:val="none"/>
        </w:rPr>
      </w:r>
    </w:p>
    <w:tbl>
      <w:tblPr>
        <w:tblW w:w="9807" w:type="dxa"/>
        <w:jc w:val="left"/>
        <w:tblInd w:w="-561" w:type="dxa"/>
        <w:tblCellMar>
          <w:top w:w="55" w:type="dxa"/>
          <w:left w:w="55" w:type="dxa"/>
          <w:bottom w:w="55" w:type="dxa"/>
          <w:right w:w="55" w:type="dxa"/>
        </w:tblCellMar>
        <w:tblLook w:val="04a0" w:noHBand="0" w:noVBand="1" w:firstColumn="1" w:lastRow="0" w:lastColumn="0" w:firstRow="1"/>
      </w:tblPr>
      <w:tblGrid>
        <w:gridCol w:w="3709"/>
        <w:gridCol w:w="2117"/>
        <w:gridCol w:w="2111"/>
        <w:gridCol w:w="1869"/>
      </w:tblGrid>
      <w:tr>
        <w:trPr/>
        <w:tc>
          <w:tcPr>
            <w:tcW w:w="9806" w:type="dxa"/>
            <w:gridSpan w:val="4"/>
            <w:tcBorders>
              <w:top w:val="single" w:sz="4" w:space="0" w:color="000000"/>
              <w:left w:val="single" w:sz="4" w:space="0" w:color="000000"/>
              <w:bottom w:val="single" w:sz="4" w:space="0" w:color="000000"/>
              <w:right w:val="single" w:sz="4" w:space="0" w:color="000000"/>
            </w:tcBorders>
            <w:shd w:color="auto" w:fill="BFBFBF" w:themeFill="background1" w:themeFillShade="bf"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sz w:val="24"/>
                <w:szCs w:val="24"/>
                <w:lang w:eastAsia="zh-CN" w:bidi="hi-IN"/>
              </w:rPr>
            </w:pPr>
            <w:r>
              <w:rPr>
                <w:rFonts w:eastAsia="NSimSun" w:cs="Calibri" w:cstheme="minorHAnsi"/>
                <w:b/>
                <w:color w:val="000000"/>
                <w:kern w:val="2"/>
                <w:sz w:val="24"/>
                <w:szCs w:val="24"/>
                <w:lang w:eastAsia="zh-CN" w:bidi="hi-IN"/>
              </w:rPr>
              <w:t>Profesorado</w:t>
            </w:r>
          </w:p>
        </w:tc>
      </w:tr>
      <w:tr>
        <w:trPr/>
        <w:tc>
          <w:tcPr>
            <w:tcW w:w="3709" w:type="dxa"/>
            <w:tcBorders>
              <w:top w:val="single" w:sz="4" w:space="0" w:color="000000"/>
              <w:left w:val="single" w:sz="4" w:space="0" w:color="000000"/>
              <w:bottom w:val="single" w:sz="4" w:space="0" w:color="000000"/>
              <w:right w:val="single" w:sz="4" w:space="0" w:color="000000"/>
            </w:tcBorders>
            <w:shd w:color="auto" w:fill="FFFFFF" w:themeFill="background1"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Nombre y apellidos</w:t>
            </w:r>
          </w:p>
        </w:tc>
        <w:tc>
          <w:tcPr>
            <w:tcW w:w="2117" w:type="dxa"/>
            <w:tcBorders>
              <w:top w:val="single" w:sz="4" w:space="0" w:color="000000"/>
              <w:left w:val="single" w:sz="4" w:space="0" w:color="000000"/>
              <w:bottom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Email</w:t>
            </w:r>
          </w:p>
        </w:tc>
        <w:tc>
          <w:tcPr>
            <w:tcW w:w="2111" w:type="dxa"/>
            <w:tcBorders>
              <w:top w:val="single" w:sz="4" w:space="0" w:color="000000"/>
              <w:left w:val="single" w:sz="4" w:space="0" w:color="000000"/>
              <w:bottom w:val="single" w:sz="4" w:space="0" w:color="000000"/>
              <w:right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ascii="Calibri" w:hAnsi="Calibri" w:eastAsia="NSimSun" w:cs="Calibri" w:cstheme="minorHAnsi"/>
                <w:b/>
                <w:b/>
                <w:color w:val="000000"/>
                <w:kern w:val="2"/>
                <w:sz w:val="24"/>
                <w:szCs w:val="24"/>
                <w:lang w:val="es-ES" w:eastAsia="zh-CN" w:bidi="hi-IN"/>
              </w:rPr>
            </w:pPr>
            <w:r>
              <w:rPr>
                <w:rFonts w:eastAsia="NSimSun" w:cs="Calibri" w:cstheme="minorHAnsi"/>
                <w:b/>
                <w:color w:val="000000"/>
                <w:kern w:val="2"/>
                <w:sz w:val="24"/>
                <w:szCs w:val="24"/>
                <w:lang w:val="es-ES" w:eastAsia="zh-CN" w:bidi="hi-IN"/>
              </w:rPr>
              <w:t>Universidad</w:t>
            </w:r>
          </w:p>
        </w:tc>
        <w:tc>
          <w:tcPr>
            <w:tcW w:w="1869" w:type="dxa"/>
            <w:tcBorders>
              <w:top w:val="single" w:sz="4" w:space="0" w:color="000000"/>
              <w:left w:val="single" w:sz="4" w:space="0" w:color="000000"/>
              <w:bottom w:val="single" w:sz="4" w:space="0" w:color="000000"/>
              <w:right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Créditos</w:t>
            </w:r>
          </w:p>
        </w:tc>
      </w:tr>
      <w:tr>
        <w:trPr/>
        <w:tc>
          <w:tcPr>
            <w:tcW w:w="3709" w:type="dxa"/>
            <w:tcBorders>
              <w:left w:val="single" w:sz="4" w:space="0" w:color="000000"/>
              <w:bottom w:val="single" w:sz="4" w:space="0" w:color="000000"/>
              <w:right w:val="single" w:sz="4" w:space="0" w:color="000000"/>
            </w:tcBorders>
            <w:shd w:color="auto" w:fill="FFFFFF" w:themeFill="background1"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Nicolás Olea Serrano</w:t>
            </w:r>
          </w:p>
        </w:tc>
        <w:tc>
          <w:tcPr>
            <w:tcW w:w="2117" w:type="dxa"/>
            <w:tcBorders>
              <w:left w:val="single" w:sz="4" w:space="0" w:color="000000"/>
              <w:bottom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rPr>
                <w:sz w:val="22"/>
                <w:szCs w:val="22"/>
              </w:rPr>
            </w:pPr>
            <w:r>
              <w:rPr>
                <w:rFonts w:cs="Calibri" w:cstheme="minorHAnsi"/>
                <w:sz w:val="22"/>
                <w:szCs w:val="22"/>
              </w:rPr>
              <w:t>***</w:t>
            </w:r>
          </w:p>
        </w:tc>
        <w:tc>
          <w:tcPr>
            <w:tcW w:w="2111" w:type="dxa"/>
            <w:tcBorders>
              <w:left w:val="single" w:sz="4" w:space="0" w:color="000000"/>
              <w:bottom w:val="single" w:sz="4" w:space="0" w:color="000000"/>
              <w:right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UNIVERSIDAD DE GRANADA</w:t>
            </w:r>
          </w:p>
        </w:tc>
        <w:tc>
          <w:tcPr>
            <w:tcW w:w="1869" w:type="dxa"/>
            <w:tcBorders>
              <w:left w:val="single" w:sz="4" w:space="0" w:color="000000"/>
              <w:bottom w:val="single" w:sz="4" w:space="0" w:color="000000"/>
              <w:right w:val="single" w:sz="4" w:space="0" w:color="000000"/>
            </w:tcBorders>
            <w:shd w:color="auto" w:fill="FFFFFF" w:themeFill="background1" w:val="clear"/>
            <w:tcMar>
              <w:top w:w="0" w:type="dxa"/>
              <w:left w:w="11"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1.00</w:t>
            </w:r>
          </w:p>
        </w:tc>
      </w:tr>
      <w:tr>
        <w:trPr/>
        <w:tc>
          <w:tcPr>
            <w:tcW w:w="3709" w:type="dxa"/>
            <w:tcBorders>
              <w:left w:val="single" w:sz="4" w:space="0" w:color="000000"/>
              <w:bottom w:val="single" w:sz="4" w:space="0" w:color="000000"/>
              <w:right w:val="single" w:sz="4" w:space="0" w:color="000000"/>
            </w:tcBorders>
            <w:shd w:color="auto" w:fill="FFFFFF" w:themeFill="background1"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Sonia Otero Estévez</w:t>
            </w:r>
          </w:p>
        </w:tc>
        <w:tc>
          <w:tcPr>
            <w:tcW w:w="2117" w:type="dxa"/>
            <w:tcBorders>
              <w:left w:val="single" w:sz="4" w:space="0" w:color="000000"/>
              <w:bottom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rPr>
                <w:sz w:val="22"/>
                <w:szCs w:val="22"/>
              </w:rPr>
            </w:pPr>
            <w:r>
              <w:rPr>
                <w:rFonts w:cs="Calibri" w:cstheme="minorHAnsi"/>
                <w:sz w:val="22"/>
                <w:szCs w:val="22"/>
              </w:rPr>
              <w:t>***</w:t>
            </w:r>
          </w:p>
        </w:tc>
        <w:tc>
          <w:tcPr>
            <w:tcW w:w="2111" w:type="dxa"/>
            <w:tcBorders>
              <w:left w:val="single" w:sz="4" w:space="0" w:color="000000"/>
              <w:bottom w:val="single" w:sz="4" w:space="0" w:color="000000"/>
              <w:right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UNIVERSIDAD DE OVIEDO</w:t>
            </w:r>
          </w:p>
        </w:tc>
        <w:tc>
          <w:tcPr>
            <w:tcW w:w="1869" w:type="dxa"/>
            <w:tcBorders>
              <w:left w:val="single" w:sz="4" w:space="0" w:color="000000"/>
              <w:bottom w:val="single" w:sz="4" w:space="0" w:color="000000"/>
              <w:right w:val="single" w:sz="4" w:space="0" w:color="000000"/>
            </w:tcBorders>
            <w:shd w:color="auto" w:fill="FFFFFF" w:themeFill="background1" w:val="clear"/>
            <w:tcMar>
              <w:top w:w="0" w:type="dxa"/>
              <w:left w:w="11"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1.00</w:t>
            </w:r>
          </w:p>
        </w:tc>
      </w:tr>
      <w:tr>
        <w:trPr/>
        <w:tc>
          <w:tcPr>
            <w:tcW w:w="3709" w:type="dxa"/>
            <w:tcBorders>
              <w:left w:val="single" w:sz="4" w:space="0" w:color="000000"/>
              <w:bottom w:val="single" w:sz="4" w:space="0" w:color="000000"/>
              <w:right w:val="single" w:sz="4" w:space="0" w:color="000000"/>
            </w:tcBorders>
            <w:shd w:color="auto" w:fill="FFFFFF" w:themeFill="background1"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Carles Soler Novás</w:t>
            </w:r>
          </w:p>
        </w:tc>
        <w:tc>
          <w:tcPr>
            <w:tcW w:w="2117" w:type="dxa"/>
            <w:tcBorders>
              <w:left w:val="single" w:sz="4" w:space="0" w:color="000000"/>
              <w:bottom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rPr>
                <w:sz w:val="22"/>
                <w:szCs w:val="22"/>
              </w:rPr>
            </w:pPr>
            <w:r>
              <w:rPr>
                <w:rFonts w:cs="Calibri" w:cstheme="minorHAnsi"/>
                <w:sz w:val="22"/>
                <w:szCs w:val="22"/>
              </w:rPr>
              <w:t>***</w:t>
            </w:r>
          </w:p>
        </w:tc>
        <w:tc>
          <w:tcPr>
            <w:tcW w:w="2111" w:type="dxa"/>
            <w:tcBorders>
              <w:left w:val="single" w:sz="4" w:space="0" w:color="000000"/>
              <w:bottom w:val="single" w:sz="4" w:space="0" w:color="000000"/>
              <w:right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MENJADORS ECOLOGICS</w:t>
            </w:r>
          </w:p>
        </w:tc>
        <w:tc>
          <w:tcPr>
            <w:tcW w:w="1869" w:type="dxa"/>
            <w:tcBorders>
              <w:left w:val="single" w:sz="4" w:space="0" w:color="000000"/>
              <w:bottom w:val="single" w:sz="4" w:space="0" w:color="000000"/>
              <w:right w:val="single" w:sz="4" w:space="0" w:color="000000"/>
            </w:tcBorders>
            <w:shd w:color="auto" w:fill="FFFFFF" w:themeFill="background1" w:val="clear"/>
            <w:tcMar>
              <w:top w:w="0" w:type="dxa"/>
              <w:left w:w="11"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1.00</w:t>
            </w:r>
          </w:p>
        </w:tc>
      </w:tr>
      <w:tr>
        <w:trPr/>
        <w:tc>
          <w:tcPr>
            <w:tcW w:w="9806" w:type="dxa"/>
            <w:gridSpan w:val="4"/>
            <w:tcBorders>
              <w:left w:val="single" w:sz="4" w:space="0" w:color="000000"/>
              <w:bottom w:val="single" w:sz="4" w:space="0" w:color="000000"/>
              <w:right w:val="single" w:sz="4" w:space="0" w:color="000000"/>
            </w:tcBorders>
            <w:shd w:color="auto" w:fill="BFBFBF" w:themeFill="background1" w:themeFillShade="bf"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TUTORIAS: Horario y localización</w:t>
            </w:r>
          </w:p>
        </w:tc>
      </w:tr>
      <w:tr>
        <w:trPr/>
        <w:tc>
          <w:tcPr>
            <w:tcW w:w="9806" w:type="dxa"/>
            <w:gridSpan w:val="4"/>
            <w:tcBorders>
              <w:left w:val="single" w:sz="4" w:space="0" w:color="000000"/>
              <w:bottom w:val="single" w:sz="4" w:space="0" w:color="000000"/>
              <w:right w:val="single" w:sz="4" w:space="0" w:color="000000"/>
            </w:tcBorders>
            <w:shd w:color="auto" w:fill="FFFFFF" w:themeFill="background1" w:val="clear"/>
          </w:tcPr>
          <w:p>
            <w:pPr>
              <w:pStyle w:val="Normal"/>
              <w:widowControl w:val="false"/>
              <w:spacing w:before="0" w:after="160"/>
              <w:contextualSpacing/>
              <w:rPr>
                <w:rFonts w:eastAsia="NSimSun" w:cs="Calibri" w:cstheme="minorHAnsi"/>
                <w:b/>
                <w:b/>
                <w:color w:val="000000"/>
                <w:kern w:val="2"/>
                <w:lang w:eastAsia="zh-CN" w:bidi="hi-IN"/>
              </w:rPr>
            </w:pPr>
            <w:r>
              <w:rPr/>
              <w:t xml:space="preserve"/>
            </w:r>
            <w:r>
              <w:rPr>
                <w:sz w:val="22"/>
                <w:szCs w:val="22"/>
              </w:rPr>
              <w:t xml:space="preserve">Lunes y martes, de 16:30 a 18:30.</w:t>
            </w:r>
            <w:r>
              <w:t xml:space="preserve"/>
              <w:br/>
              <w:t xml:space="preserve"/>
            </w:r>
            <w:r>
              <w:t xml:space="preserve"/>
              <w:br/>
              <w:t xml:space="preserve"/>
            </w:r>
            <w:r>
              <w:t xml:space="preserve"/>
            </w:r>
          </w:p>
        </w:tc>
      </w:tr>
    </w:tbl>
    <w:p>
      <w:pPr>
        <w:pStyle w:val="Normal"/>
        <w:widowControl w:val="false"/>
        <w:suppressAutoHyphens w:val="true"/>
        <w:bidi w:val="0"/>
        <w:spacing w:lineRule="auto" w:line="259" w:before="0" w:after="160"/>
        <w:ind w:left="0" w:right="0" w:hanging="567"/>
        <w:contextualSpacing/>
        <w:jc w:val="left"/>
        <w:rPr>
          <w:rFonts w:eastAsia="NSimSun" w:cs="Calibri" w:cstheme="minorHAnsi"/>
          <w:b/>
          <w:b/>
          <w:color w:val="000000"/>
          <w:kern w:val="2"/>
          <w:lang w:eastAsia="zh-CN" w:bidi="hi-IN"/>
        </w:rPr>
      </w:pPr>
      <w:r>
        <w:rPr>
          <w:rFonts w:eastAsia="NSimSun" w:cs="Calibri" w:cstheme="minorHAnsi"/>
          <w:b/>
          <w:color w:val="000000"/>
          <w:kern w:val="2"/>
          <w:lang w:eastAsia="zh-CN" w:bidi="hi-IN"/>
        </w:rPr>
      </w:r>
    </w:p>
    <w:p>
      <w:pPr>
        <w:pStyle w:val="Normal"/>
        <w:widowControl w:val="false"/>
        <w:suppressAutoHyphens w:val="true"/>
        <w:bidi w:val="0"/>
        <w:spacing w:lineRule="auto" w:line="259" w:before="0" w:after="160"/>
        <w:ind w:left="0" w:right="0" w:hanging="567"/>
        <w:contextualSpacing/>
        <w:jc w:val="left"/>
        <w:rPr>
          <w:rFonts w:eastAsia="NSimSun" w:cs="Calibri" w:cstheme="minorHAnsi"/>
          <w:b/>
          <w:b/>
          <w:color w:val="000000"/>
          <w:kern w:val="2"/>
          <w:lang w:eastAsia="zh-CN" w:bidi="hi-IN"/>
        </w:rPr>
      </w:pPr>
      <w:r>
        <w:rPr>
          <w:rFonts w:eastAsia="NSimSun" w:cs="Calibri" w:cstheme="minorHAnsi"/>
          <w:b w:val="false"/>
          <w:bCs w:val="false"/>
          <w:color w:val="000000"/>
          <w:kern w:val="2"/>
          <w:sz w:val="22"/>
          <w:szCs w:val="22"/>
          <w:lang w:eastAsia="zh-CN" w:bidi="hi-IN"/>
        </w:rPr>
        <w:t/>
      </w:r>
    </w:p>
    <w:tbl>
      <w:tblPr>
        <w:tblW w:w="9807" w:type="dxa"/>
        <w:jc w:val="left"/>
        <w:tblInd w:w="-561" w:type="dxa"/>
        <w:tblCellMar>
          <w:top w:w="55" w:type="dxa"/>
          <w:left w:w="55" w:type="dxa"/>
          <w:bottom w:w="55" w:type="dxa"/>
          <w:right w:w="55" w:type="dxa"/>
        </w:tblCellMar>
        <w:tblLook w:val="04a0" w:noHBand="0" w:noVBand="1" w:firstColumn="1" w:lastRow="0" w:lastColumn="0" w:firstRow="1"/>
      </w:tblPr>
      <w:tblGrid>
        <w:gridCol w:w="3682"/>
        <w:gridCol w:w="6124"/>
      </w:tblGrid>
      <w:tr>
        <w:trPr/>
        <w:tc>
          <w:tcPr>
            <w:tcW w:w="9806" w:type="dxa"/>
            <w:gridSpan w:val="2"/>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RESULTADOS DEL PROCESO DE FORMACIÓN Y APRENDIZAJE</w:t>
            </w:r>
          </w:p>
        </w:tc>
      </w:tr>
      <w:tr>
        <w:trPr/>
        <w:tc>
          <w:tcPr>
            <w:tcW w:w="3682" w:type="dxa"/>
            <w:tcBorders>
              <w:left w:val="single" w:sz="4" w:space="0" w:color="000000"/>
              <w:bottom w:val="single" w:sz="4" w:space="0" w:color="000000"/>
            </w:tcBorders>
            <w:shd w:fill="92D050" w:val="clear"/>
          </w:tcPr>
          <w:p>
            <w:pPr>
              <w:pStyle w:val="Normal"/>
              <w:widowControl w:val="false"/>
              <w:suppressLineNumbers/>
              <w:suppressAutoHyphens w:val="true"/>
              <w:spacing w:lineRule="auto" w:line="240" w:before="0" w:after="0"/>
              <w:contextualSpacing/>
              <w:textAlignment w:val="baseline"/>
              <w:rPr>
                <w:rFonts w:ascii="Calibri" w:hAnsi="Calibri" w:eastAsia="Calibri" w:cs="" w:asciiTheme="minorHAnsi" w:cstheme="minorBidi" w:eastAsiaTheme="minorHAnsi" w:hAnsiTheme="minorHAnsi"/>
                <w:color w:val="auto"/>
                <w:kern w:val="0"/>
                <w:sz w:val="22"/>
                <w:szCs w:val="22"/>
                <w:lang w:val="es-ES" w:eastAsia="en-US" w:bidi="ar-SA"/>
              </w:rPr>
            </w:pPr>
            <w:r>
              <w:rPr>
                <w:rFonts w:eastAsia="Calibri" w:cs="" w:cstheme="minorBidi" w:eastAsiaTheme="minorHAnsi"/>
                <w:color w:val="auto"/>
                <w:kern w:val="0"/>
                <w:sz w:val="22"/>
                <w:szCs w:val="22"/>
                <w:lang w:val="es-ES" w:eastAsia="en-US" w:bidi="ar-SA"/>
              </w:rPr>
              <w:t>Conocimientos o contenidos</w:t>
            </w:r>
          </w:p>
        </w:tc>
        <w:tc>
          <w:tcPr>
            <w:tcW w:w="6124" w:type="dxa"/>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 xml:space="preserve"/>
            </w:r>
            <w:r>
              <w:rPr>
                <w:sz w:val="22"/>
                <w:szCs w:val="22"/>
              </w:rPr>
              <w:t xml:space="preserve">Conoce los hábitos de consumo, estrategias alimentarias y pautas de la transición nutricional, aplicadas al consumo de alimentos ecológicos; los principales contaminantes químicos presentes en los alimentos, relacionados con la producción, procesamiento, distribución y preparación en el marco  agroalimentario convencional y sus efectos sobre la salud; las formas, dificultades y bondades del uso de alimentos ecológicos en la gastronomía profesional y en la restauración colectiva</w:t>
            </w:r>
            <w:r>
              <w:t xml:space="preserve"/>
              <w:br/>
              <w:t xml:space="preserve"/>
            </w:r>
            <w:r>
              <w:t xml:space="preserve"/>
              <w:br/>
              <w:t xml:space="preserve"/>
            </w:r>
            <w:r>
              <w:t xml:space="preserve"/>
            </w:r>
          </w:p>
        </w:tc>
      </w:tr>
      <w:tr>
        <w:trPr/>
        <w:tc>
          <w:tcPr>
            <w:tcW w:w="3682" w:type="dxa"/>
            <w:tcBorders>
              <w:left w:val="single" w:sz="4" w:space="0" w:color="000000"/>
              <w:bottom w:val="single" w:sz="4" w:space="0" w:color="000000"/>
            </w:tcBorders>
            <w:shd w:fill="92D050" w:val="clear"/>
          </w:tcPr>
          <w:p>
            <w:pPr>
              <w:pStyle w:val="Normal"/>
              <w:widowControl w:val="false"/>
              <w:suppressLineNumbers/>
              <w:suppressAutoHyphens w:val="true"/>
              <w:spacing w:lineRule="auto" w:line="240" w:before="0" w:after="0"/>
              <w:contextualSpacing/>
              <w:textAlignment w:val="baseline"/>
              <w:rPr>
                <w:rFonts w:ascii="Calibri" w:hAnsi="Calibri" w:eastAsia="Calibri" w:cs="" w:asciiTheme="minorHAnsi" w:cstheme="minorBidi" w:eastAsiaTheme="minorHAnsi" w:hAnsiTheme="minorHAnsi"/>
                <w:color w:val="auto"/>
                <w:kern w:val="0"/>
                <w:sz w:val="22"/>
                <w:szCs w:val="22"/>
                <w:lang w:val="es-ES" w:eastAsia="en-US" w:bidi="ar-SA"/>
              </w:rPr>
            </w:pPr>
            <w:r>
              <w:rPr>
                <w:rFonts w:eastAsia="Calibri" w:cs="" w:cstheme="minorBidi" w:eastAsiaTheme="minorHAnsi"/>
                <w:color w:val="auto"/>
                <w:kern w:val="0"/>
                <w:sz w:val="22"/>
                <w:szCs w:val="22"/>
                <w:lang w:val="es-ES" w:eastAsia="en-US" w:bidi="ar-SA"/>
              </w:rPr>
              <w:t>Competencias</w:t>
            </w:r>
          </w:p>
        </w:tc>
        <w:tc>
          <w:tcPr>
            <w:tcW w:w="6124" w:type="dxa"/>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 xml:space="preserve"/>
            </w:r>
            <w:r>
              <w:rPr>
                <w:sz w:val="22"/>
                <w:szCs w:val="22"/>
              </w:rPr>
              <w:t xml:space="preserve">Manejar preguntas de investigación sobre hábitos de consumo y dieta en niveles micro y macro; Lograr un diálogo de saberes con profesionales de la gastronomía para la incorporación de alimentos ecológicos</w:t>
            </w:r>
            <w:r>
              <w:t xml:space="preserve"/>
              <w:br/>
              <w:t xml:space="preserve"/>
            </w:r>
            <w:r>
              <w:t xml:space="preserve"/>
              <w:br/>
              <w:t xml:space="preserve"/>
            </w:r>
            <w:r>
              <w:t xml:space="preserve"/>
            </w:r>
          </w:p>
        </w:tc>
      </w:tr>
      <w:tr>
        <w:trPr/>
        <w:tc>
          <w:tcPr>
            <w:tcW w:w="3682" w:type="dxa"/>
            <w:tcBorders>
              <w:left w:val="single" w:sz="4" w:space="0" w:color="000000"/>
              <w:bottom w:val="single" w:sz="4" w:space="0" w:color="000000"/>
            </w:tcBorders>
            <w:shd w:fill="92D050" w:val="clear"/>
          </w:tcPr>
          <w:p>
            <w:pPr>
              <w:pStyle w:val="Normal"/>
              <w:widowControl w:val="false"/>
              <w:suppressLineNumbers/>
              <w:suppressAutoHyphens w:val="true"/>
              <w:spacing w:lineRule="auto" w:line="240" w:before="0" w:after="0"/>
              <w:contextualSpacing/>
              <w:textAlignment w:val="baseline"/>
              <w:rPr>
                <w:rFonts w:ascii="Calibri" w:hAnsi="Calibri" w:eastAsia="Calibri" w:cs="" w:asciiTheme="minorHAnsi" w:cstheme="minorBidi" w:eastAsiaTheme="minorHAnsi" w:hAnsiTheme="minorHAnsi"/>
                <w:color w:val="auto"/>
                <w:kern w:val="0"/>
                <w:sz w:val="22"/>
                <w:szCs w:val="22"/>
                <w:lang w:val="es-ES" w:eastAsia="en-US" w:bidi="ar-SA"/>
              </w:rPr>
            </w:pPr>
            <w:r>
              <w:rPr>
                <w:rFonts w:eastAsia="Calibri" w:cs="" w:cstheme="minorBidi" w:eastAsiaTheme="minorHAnsi"/>
                <w:color w:val="auto"/>
                <w:kern w:val="0"/>
                <w:sz w:val="22"/>
                <w:szCs w:val="22"/>
                <w:lang w:val="es-ES" w:eastAsia="en-US" w:bidi="ar-SA"/>
              </w:rPr>
              <w:t>Habilidades o destrezas</w:t>
            </w:r>
          </w:p>
        </w:tc>
        <w:tc>
          <w:tcPr>
            <w:tcW w:w="6124" w:type="dxa"/>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 xml:space="preserve"/>
            </w:r>
            <w:r>
              <w:rPr>
                <w:sz w:val="22"/>
                <w:szCs w:val="22"/>
              </w:rPr>
              <w:t xml:space="preserve">Identificar la exposición vía alimentaria a contaminantes químicos presentes en los alimentos identificado alertas, siglas y códigos alimentarios.</w:t>
            </w:r>
            <w:r>
              <w:t xml:space="preserve"/>
              <w:br/>
              <w:t xml:space="preserve"/>
            </w:r>
            <w:r>
              <w:t xml:space="preserve"/>
              <w:br/>
              <w:t xml:space="preserve"/>
            </w:r>
            <w:r>
              <w:t xml:space="preserve"/>
            </w:r>
          </w:p>
        </w:tc>
      </w:tr>
    </w:tbl>
    <w:p>
      <w:pPr>
        <w:pStyle w:val="Normal"/>
        <w:widowControl w:val="false"/>
        <w:suppressLineNumbers/>
        <w:suppressAutoHyphens w:val="true"/>
        <w:bidi w:val="0"/>
        <w:spacing w:lineRule="auto" w:line="240" w:before="0" w:after="0"/>
        <w:ind w:left="0" w:right="0" w:hanging="624"/>
        <w:contextualSpacing/>
        <w:jc w:val="left"/>
        <w:textAlignment w:val="baseline"/>
        <w:rPr>
          <w:b w:val="false"/>
          <w:b w:val="false"/>
          <w:bCs w:val="false"/>
        </w:rPr>
      </w:pPr>
      <w:r>
        <w:rPr>
          <w:rFonts w:eastAsia="NSimSun" w:cs="Calibri" w:cstheme="minorHAnsi"/>
          <w:b w:val="false"/>
          <w:bCs w:val="false"/>
          <w:color w:val="000000"/>
          <w:kern w:val="2"/>
          <w:sz w:val="24"/>
          <w:szCs w:val="24"/>
          <w:lang w:eastAsia="zh-CN" w:bidi="hi-IN"/>
        </w:rPr>
        <w:t/>
      </w:r>
    </w:p>
    <w:tbl>
      <w:tblPr>
        <w:tblW w:w="9807" w:type="dxa"/>
        <w:jc w:val="left"/>
        <w:tblInd w:w="-561" w:type="dxa"/>
        <w:tblCellMar>
          <w:top w:w="55" w:type="dxa"/>
          <w:left w:w="55" w:type="dxa"/>
          <w:bottom w:w="55" w:type="dxa"/>
          <w:right w:w="55" w:type="dxa"/>
        </w:tblCellMar>
        <w:tblLook w:val="04a0" w:noHBand="0" w:noVBand="1" w:firstColumn="1" w:lastRow="0" w:lastColumn="0" w:firstRow="1"/>
      </w:tblPr>
      <w:tblGrid>
        <w:gridCol w:w="3009"/>
        <w:gridCol w:w="2413"/>
        <w:gridCol w:w="2411"/>
        <w:gridCol w:w="104"/>
        <w:gridCol w:w="1869"/>
      </w:tblGrid>
      <w:tr>
        <w:trPr/>
        <w:tc>
          <w:tcPr>
            <w:tcW w:w="9806" w:type="dxa"/>
            <w:gridSpan w:val="5"/>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DESCRIPTORES DE CONTENIDOS</w:t>
            </w:r>
          </w:p>
        </w:tc>
      </w:tr>
      <w:tr>
        <w:trPr/>
        <w:tc>
          <w:tcPr>
            <w:tcW w:w="9806" w:type="dxa"/>
            <w:gridSpan w:val="5"/>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 xml:space="preserve"/>
            </w:r>
            <w:r>
              <w:rPr>
                <w:sz w:val="22"/>
                <w:szCs w:val="22"/>
              </w:rPr>
              <w:t xml:space="preserve">Clases teóricas: </w:t>
            </w:r>
            <w:r>
              <w:t xml:space="preserve"/>
              <w:br/>
              <w:t xml:space="preserve"/>
            </w:r>
            <w:r>
              <w:rPr>
                <w:sz w:val="22"/>
                <w:szCs w:val="22"/>
              </w:rPr>
              <w:t xml:space="preserve">    1. Introducción a la bromatología y a la tecnología de los alimentos aplicada a la agroecología</w:t>
            </w:r>
            <w:r>
              <w:t xml:space="preserve"/>
              <w:br/>
              <w:t xml:space="preserve"/>
            </w:r>
            <w:r>
              <w:rPr>
                <w:sz w:val="22"/>
                <w:szCs w:val="22"/>
              </w:rPr>
              <w:t xml:space="preserve">    2. Componentes químicos en alimentos y envases del sistema agroalimentario convencional: efectos en la salud</w:t>
            </w:r>
            <w:r>
              <w:t xml:space="preserve"/>
              <w:br/>
              <w:t xml:space="preserve"/>
            </w:r>
            <w:r>
              <w:rPr>
                <w:sz w:val="22"/>
                <w:szCs w:val="22"/>
              </w:rPr>
              <w:t xml:space="preserve">    3. Nutrición y alimentos ecológicos</w:t>
            </w:r>
            <w:r>
              <w:t xml:space="preserve"/>
              <w:br/>
              <w:t xml:space="preserve"/>
            </w:r>
            <w:r>
              <w:rPr>
                <w:sz w:val="22"/>
                <w:szCs w:val="22"/>
              </w:rPr>
              <w:t xml:space="preserve">    4. Hábitos de consumo y estrategias alimentarias para el consumo de productos (agro)ecológicos</w:t>
            </w:r>
            <w:r>
              <w:t xml:space="preserve"/>
              <w:br/>
              <w:t xml:space="preserve"/>
            </w:r>
            <w:r>
              <w:rPr>
                <w:sz w:val="22"/>
                <w:szCs w:val="22"/>
              </w:rPr>
              <w:t xml:space="preserve">    5. Dietas agroecológicas</w:t>
            </w:r>
            <w:r>
              <w:t xml:space="preserve"/>
              <w:br/>
              <w:t xml:space="preserve"/>
            </w:r>
            <w:r>
              <w:rPr>
                <w:sz w:val="22"/>
                <w:szCs w:val="22"/>
              </w:rPr>
              <w:t xml:space="preserve">    6. La gastronomía en la agroecología: cocina popular y alta cocina al servicio de la agroecología</w:t>
            </w:r>
            <w:r>
              <w:t xml:space="preserve"/>
              <w:br/>
              <w:t xml:space="preserve"/>
            </w:r>
            <w:r>
              <w:rPr>
                <w:sz w:val="22"/>
                <w:szCs w:val="22"/>
              </w:rPr>
              <w:t xml:space="preserve">    7. Claves en el uso de alimentos agroecológicos en la cocina</w:t>
            </w:r>
            <w:r>
              <w:t xml:space="preserve"/>
              <w:br/>
              <w:t xml:space="preserve"/>
            </w:r>
            <w:r>
              <w:rPr>
                <w:sz w:val="22"/>
                <w:szCs w:val="22"/>
              </w:rPr>
              <w:t xml:space="preserve">    8. Gestión desde la restauración colectiva de alimentos agroecológicos</w:t>
            </w:r>
            <w:r>
              <w:t xml:space="preserve"/>
              <w:br/>
              <w:t xml:space="preserve"/>
            </w:r>
            <w:r>
              <w:t xml:space="preserve"/>
              <w:br/>
              <w:t xml:space="preserve"/>
            </w:r>
            <w:r>
              <w:rPr>
                <w:sz w:val="22"/>
                <w:szCs w:val="22"/>
              </w:rPr>
              <w:t xml:space="preserve">Clases prácticas:</w:t>
            </w:r>
            <w:r>
              <w:t xml:space="preserve"/>
              <w:br/>
              <w:t xml:space="preserve"/>
            </w:r>
            <w:r>
              <w:rPr>
                <w:sz w:val="22"/>
                <w:szCs w:val="22"/>
              </w:rPr>
              <w:t xml:space="preserve">Taller sobre agrotóxicos</w:t>
            </w:r>
            <w:r>
              <w:t xml:space="preserve"/>
              <w:br/>
              <w:t xml:space="preserve"/>
            </w:r>
            <w:r>
              <w:rPr>
                <w:sz w:val="22"/>
                <w:szCs w:val="22"/>
              </w:rPr>
              <w:t xml:space="preserve">Análisis de menús agroecológicos de comedores escolares </w:t>
            </w:r>
            <w:r>
              <w:t xml:space="preserve"/>
              <w:br/>
              <w:t xml:space="preserve"/>
            </w:r>
            <w:r>
              <w:t xml:space="preserve"/>
              <w:br/>
              <w:t xml:space="preserve"/>
            </w:r>
            <w:r>
              <w:t xml:space="preserve"/>
            </w:r>
          </w:p>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sz w:val="24"/>
                <w:szCs w:val="24"/>
                <w:lang w:eastAsia="zh-CN" w:bidi="hi-IN"/>
              </w:rPr>
            </w:pPr>
            <w:r>
              <w:rPr>
                <w:rFonts w:eastAsia="NSimSun" w:cs="Calibri" w:cstheme="minorHAnsi"/>
                <w:color w:val="000000"/>
                <w:kern w:val="2"/>
                <w:sz w:val="24"/>
                <w:szCs w:val="24"/>
                <w:lang w:eastAsia="zh-CN" w:bidi="hi-IN"/>
              </w:rPr>
            </w:r>
          </w:p>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sz w:val="24"/>
                <w:szCs w:val="24"/>
                <w:lang w:eastAsia="zh-CN" w:bidi="hi-IN"/>
              </w:rPr>
            </w:pPr>
            <w:r>
              <w:rPr>
                <w:rFonts w:eastAsia="NSimSun" w:cs="Calibri" w:cstheme="minorHAnsi"/>
                <w:color w:val="000000"/>
                <w:kern w:val="2"/>
                <w:sz w:val="24"/>
                <w:szCs w:val="24"/>
                <w:lang w:eastAsia="zh-CN" w:bidi="hi-IN"/>
              </w:rPr>
            </w:r>
          </w:p>
        </w:tc>
      </w:tr>
      <w:tr>
        <w:trPr/>
        <w:tc>
          <w:tcPr>
            <w:tcW w:w="9806" w:type="dxa"/>
            <w:gridSpan w:val="5"/>
            <w:tcBorders>
              <w:left w:val="single" w:sz="4" w:space="0" w:color="000000"/>
              <w:bottom w:val="single" w:sz="4" w:space="0" w:color="000000"/>
              <w:right w:val="single" w:sz="4" w:space="0" w:color="000000"/>
            </w:tcBorders>
            <w:shd w:color="auto" w:fill="BFBFBF" w:themeFill="background1" w:themeFillShade="bf"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ACTIVIDADES FORMATIVAS Y METODOLOGÍAS DOCENTES</w:t>
            </w:r>
          </w:p>
        </w:tc>
      </w:tr>
      <w:tr>
        <w:trPr/>
        <w:tc>
          <w:tcPr>
            <w:tcW w:w="9806" w:type="dxa"/>
            <w:gridSpan w:val="5"/>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 xml:space="preserve"/>
            </w:r>
            <w:r>
              <w:rPr>
                <w:sz w:val="22"/>
                <w:szCs w:val="22"/>
              </w:rPr>
              <w:t xml:space="preserve">Actividades expositivas y prácticas (presenciales, síncronas y/o asíncronas)    </w:t>
            </w:r>
            <w:r>
              <w:t xml:space="preserve"/>
              <w:br/>
              <w:t xml:space="preserve"/>
            </w:r>
            <w:r>
              <w:rPr>
                <w:sz w:val="22"/>
                <w:szCs w:val="22"/>
              </w:rPr>
              <w:t xml:space="preserve">Actividades dirigidas y/o supervisadas académicamente    </w:t>
            </w:r>
            <w:r>
              <w:t xml:space="preserve"/>
              <w:br/>
              <w:t xml:space="preserve"/>
            </w:r>
            <w:r>
              <w:rPr>
                <w:sz w:val="22"/>
                <w:szCs w:val="22"/>
              </w:rPr>
              <w:t xml:space="preserve">Actividades autónomas del estudiante    </w:t>
            </w:r>
            <w:r>
              <w:t xml:space="preserve"/>
              <w:br/>
              <w:t xml:space="preserve"/>
            </w:r>
            <w:r>
              <w:t xml:space="preserve"/>
              <w:br/>
              <w:t xml:space="preserve"/>
            </w:r>
            <w:r>
              <w:t xml:space="preserve"/>
            </w:r>
          </w:p>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r>
          </w:p>
        </w:tc>
      </w:tr>
      <w:tr>
        <w:trPr/>
        <w:tc>
          <w:tcPr>
            <w:tcW w:w="3009"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0"/>
                <w:szCs w:val="20"/>
                <w:lang w:eastAsia="zh-CN" w:bidi="hi-IN"/>
              </w:rPr>
            </w:pPr>
            <w:r>
              <w:rPr>
                <w:rFonts w:eastAsia="NSimSun" w:cs="Calibri" w:cstheme="minorHAnsi"/>
                <w:b/>
                <w:color w:val="000000"/>
                <w:kern w:val="2"/>
                <w:sz w:val="20"/>
                <w:szCs w:val="20"/>
                <w:lang w:eastAsia="zh-CN" w:bidi="hi-IN"/>
              </w:rPr>
              <w:t>Actividad formativa</w:t>
            </w:r>
          </w:p>
        </w:tc>
        <w:tc>
          <w:tcPr>
            <w:tcW w:w="2413"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0"/>
                <w:szCs w:val="20"/>
                <w:lang w:eastAsia="zh-CN" w:bidi="hi-IN"/>
              </w:rPr>
            </w:pPr>
            <w:r>
              <w:rPr>
                <w:rFonts w:eastAsia="NSimSun" w:cs="Calibri" w:cstheme="minorHAnsi"/>
                <w:b/>
                <w:color w:val="000000"/>
                <w:kern w:val="2"/>
                <w:sz w:val="20"/>
                <w:szCs w:val="20"/>
                <w:lang w:eastAsia="zh-CN" w:bidi="hi-IN"/>
              </w:rPr>
              <w:t>Modalidad de enseñanza</w:t>
            </w:r>
          </w:p>
        </w:tc>
        <w:tc>
          <w:tcPr>
            <w:tcW w:w="2411"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0"/>
                <w:szCs w:val="20"/>
                <w:lang w:eastAsia="zh-CN" w:bidi="hi-IN"/>
              </w:rPr>
            </w:pPr>
            <w:r>
              <w:rPr>
                <w:rFonts w:eastAsia="NSimSun" w:cs="Calibri" w:cstheme="minorHAnsi"/>
                <w:b/>
                <w:color w:val="000000"/>
                <w:kern w:val="2"/>
                <w:sz w:val="20"/>
                <w:szCs w:val="20"/>
                <w:lang w:eastAsia="zh-CN" w:bidi="hi-IN"/>
              </w:rPr>
              <w:t>Dedicación</w:t>
            </w:r>
          </w:p>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sz w:val="18"/>
                <w:szCs w:val="18"/>
                <w:lang w:eastAsia="zh-CN" w:bidi="hi-IN"/>
              </w:rPr>
            </w:pPr>
            <w:r>
              <w:rPr>
                <w:rFonts w:eastAsia="NSimSun" w:cs="Calibri" w:cstheme="minorHAnsi"/>
                <w:color w:val="000000"/>
                <w:kern w:val="2"/>
                <w:sz w:val="18"/>
                <w:szCs w:val="18"/>
                <w:lang w:eastAsia="zh-CN" w:bidi="hi-IN"/>
              </w:rPr>
              <w:t>(horas de trabajo autónomo del estudiante)</w:t>
            </w:r>
          </w:p>
        </w:tc>
        <w:tc>
          <w:tcPr>
            <w:tcW w:w="1973" w:type="dxa"/>
            <w:gridSpan w:val="2"/>
            <w:tcBorders>
              <w:left w:val="single" w:sz="4" w:space="0" w:color="000000"/>
              <w:bottom w:val="single" w:sz="4" w:space="0" w:color="000000"/>
              <w:right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0"/>
                <w:szCs w:val="20"/>
                <w:lang w:eastAsia="zh-CN" w:bidi="hi-IN"/>
              </w:rPr>
            </w:pPr>
            <w:r>
              <w:rPr>
                <w:rFonts w:eastAsia="NSimSun" w:cs="Calibri" w:cstheme="minorHAnsi"/>
                <w:b/>
                <w:color w:val="000000"/>
                <w:kern w:val="2"/>
                <w:sz w:val="20"/>
                <w:szCs w:val="20"/>
                <w:lang w:eastAsia="zh-CN" w:bidi="hi-IN"/>
              </w:rPr>
              <w:t>Dedicación</w:t>
            </w:r>
          </w:p>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sz w:val="18"/>
                <w:szCs w:val="18"/>
                <w:lang w:eastAsia="zh-CN" w:bidi="hi-IN"/>
              </w:rPr>
            </w:pPr>
            <w:r>
              <w:rPr>
                <w:rFonts w:eastAsia="NSimSun" w:cs="Calibri" w:cstheme="minorHAnsi"/>
                <w:color w:val="000000"/>
                <w:kern w:val="2"/>
                <w:sz w:val="18"/>
                <w:szCs w:val="18"/>
                <w:lang w:eastAsia="zh-CN" w:bidi="hi-IN"/>
              </w:rPr>
              <w:t>(horas de trabajo lectivas del estudiante con apoyo del profesor)</w:t>
            </w:r>
          </w:p>
        </w:tc>
      </w:tr>
      <w:tr>
        <w:trPr/>
        <w:tc>
          <w:tcPr>
            <w:tcW w:w="3009"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eastAsia="Times New Roman" w:cs="Calibri" w:cstheme="minorHAnsi"/>
                <w:sz w:val="22"/>
                <w:szCs w:val="22"/>
              </w:rPr>
              <w:t xml:space="preserve">Actividades expositivas y prácticas (presenciales, síncronas y/o asíncronas)</w:t>
            </w:r>
          </w:p>
        </w:tc>
        <w:tc>
          <w:tcPr>
            <w:tcW w:w="2413"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PRESENCIAL</w:t>
            </w:r>
          </w:p>
        </w:tc>
        <w:tc>
          <w:tcPr>
            <w:tcW w:w="2411"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0</w:t>
            </w:r>
          </w:p>
        </w:tc>
        <w:tc>
          <w:tcPr>
            <w:tcW w:w="1973" w:type="dxa"/>
            <w:gridSpan w:val="2"/>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napToGrid w:val="fals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20</w:t>
            </w:r>
          </w:p>
        </w:tc>
      </w:tr>
      <w:tr>
        <w:trPr/>
        <w:tc>
          <w:tcPr>
            <w:tcW w:w="3009"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eastAsia="Times New Roman" w:cs="Calibri" w:cstheme="minorHAnsi"/>
                <w:sz w:val="22"/>
                <w:szCs w:val="22"/>
              </w:rPr>
              <w:t xml:space="preserve">Actividades dirigidas y/o supervisadas académicamente</w:t>
            </w:r>
          </w:p>
        </w:tc>
        <w:tc>
          <w:tcPr>
            <w:tcW w:w="2413"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PRESENCIAL</w:t>
            </w:r>
          </w:p>
        </w:tc>
        <w:tc>
          <w:tcPr>
            <w:tcW w:w="2411"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0</w:t>
            </w:r>
          </w:p>
        </w:tc>
        <w:tc>
          <w:tcPr>
            <w:tcW w:w="1973" w:type="dxa"/>
            <w:gridSpan w:val="2"/>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napToGrid w:val="fals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10</w:t>
            </w:r>
          </w:p>
        </w:tc>
      </w:tr>
      <w:tr>
        <w:trPr/>
        <w:tc>
          <w:tcPr>
            <w:tcW w:w="3009"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eastAsia="Times New Roman" w:cs="Calibri" w:cstheme="minorHAnsi"/>
                <w:sz w:val="22"/>
                <w:szCs w:val="22"/>
              </w:rPr>
              <w:t xml:space="preserve">Actividades autónomas del estudiante</w:t>
            </w:r>
          </w:p>
        </w:tc>
        <w:tc>
          <w:tcPr>
            <w:tcW w:w="2413"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SIN DETERMINAR</w:t>
            </w:r>
          </w:p>
        </w:tc>
        <w:tc>
          <w:tcPr>
            <w:tcW w:w="2411"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45</w:t>
            </w:r>
          </w:p>
        </w:tc>
        <w:tc>
          <w:tcPr>
            <w:tcW w:w="1973" w:type="dxa"/>
            <w:gridSpan w:val="2"/>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napToGrid w:val="fals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0</w:t>
            </w:r>
          </w:p>
        </w:tc>
      </w:tr>
      <w:tr>
        <w:trPr/>
        <w:tc>
          <w:tcPr>
            <w:tcW w:w="9806" w:type="dxa"/>
            <w:gridSpan w:val="5"/>
            <w:tcBorders>
              <w:left w:val="single" w:sz="4" w:space="0" w:color="000000"/>
              <w:bottom w:val="single" w:sz="4" w:space="0" w:color="000000"/>
              <w:right w:val="single" w:sz="4" w:space="0" w:color="000000"/>
            </w:tcBorders>
            <w:shd w:color="auto" w:fill="BFBFBF" w:themeFill="background1" w:themeFillShade="bf"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SISTEMA DE EVALUACIÓN</w:t>
            </w:r>
          </w:p>
        </w:tc>
      </w:tr>
      <w:tr>
        <w:trPr/>
        <w:tc>
          <w:tcPr>
            <w:tcW w:w="9806" w:type="dxa"/>
            <w:gridSpan w:val="5"/>
            <w:tcBorders>
              <w:left w:val="single" w:sz="4" w:space="0" w:color="000000"/>
              <w:bottom w:val="single" w:sz="4" w:space="0" w:color="000000"/>
              <w:right w:val="single" w:sz="4" w:space="0" w:color="000000"/>
            </w:tcBorders>
            <w:shd w:color="auto" w:fill="auto" w:val="clear"/>
          </w:tcPr>
          <w:p>
            <w:pPr>
              <w:pStyle w:val="Normal"/>
              <w:widowControl w:val="false"/>
              <w:spacing w:before="0" w:after="0"/>
              <w:contextualSpacing/>
              <w:rPr>
                <w:rFonts w:eastAsia="NSimSun" w:cs="Calibri" w:cstheme="minorHAnsi"/>
                <w:b/>
                <w:b/>
                <w:color w:val="000000"/>
                <w:kern w:val="2"/>
                <w:sz w:val="24"/>
                <w:szCs w:val="24"/>
                <w:lang w:eastAsia="zh-CN" w:bidi="hi-IN"/>
              </w:rPr>
            </w:pPr>
            <w:r>
              <w:rPr/>
              <w:t xml:space="preserve"/>
            </w:r>
            <w:r>
              <w:rPr>
                <w:sz w:val="22"/>
                <w:szCs w:val="22"/>
              </w:rPr>
              <w:t xml:space="preserve">La asignatura será evaluada a través de la realización de un trabajo individual de reflexión y análisis utilizando las lecturas y los contenidos facilitados en clase y en la moodle.</w:t>
            </w:r>
            <w:r>
              <w:t xml:space="preserve"/>
              <w:br/>
              <w:t xml:space="preserve"/>
            </w:r>
            <w:r>
              <w:t xml:space="preserve"/>
              <w:br/>
              <w:t xml:space="preserve"/>
            </w:r>
            <w:r>
              <w:rPr>
                <w:sz w:val="22"/>
                <w:szCs w:val="22"/>
              </w:rPr>
              <w:t xml:space="preserve">Estos trabajos tendrán que entregarse antes del plazo máximo, bien por correo electrónico a la persona coordinadora de módulo o subiendo un archivo como tarea en el apartado correspondiente de la asignatura en la moodle.</w:t>
            </w:r>
            <w:r>
              <w:t xml:space="preserve"/>
              <w:br/>
              <w:t xml:space="preserve"/>
            </w:r>
            <w:r>
              <w:t xml:space="preserve"/>
              <w:br/>
              <w:t xml:space="preserve"/>
            </w:r>
            <w:r>
              <w:t xml:space="preserve"/>
            </w:r>
          </w:p>
        </w:tc>
      </w:tr>
      <w:tr>
        <w:trPr>
          <w:trHeight w:val="75" w:hRule="atLeast"/>
        </w:trPr>
        <w:tc>
          <w:tcPr>
            <w:tcW w:w="7937" w:type="dxa"/>
            <w:gridSpan w:val="4"/>
            <w:tcBorders>
              <w:left w:val="single" w:sz="4" w:space="0" w:color="000000"/>
              <w:bottom w:val="single" w:sz="4" w:space="0" w:color="000000"/>
              <w:right w:val="single" w:sz="4" w:space="0" w:color="000000"/>
            </w:tcBorders>
            <w:shd w:color="auto" w:fill="BFBFBF" w:themeFill="background1" w:themeFillShade="bf" w:val="clear"/>
            <w:vAlign w:val="center"/>
          </w:tcPr>
          <w:p>
            <w:pPr>
              <w:pStyle w:val="Normal"/>
              <w:widowControl w:val="false"/>
              <w:spacing w:before="0" w:after="0"/>
              <w:contextualSpacing/>
              <w:jc w:val="center"/>
              <w:rPr>
                <w:rFonts w:eastAsia="Tahoma" w:cs="Calibri"/>
                <w:b/>
                <w:b/>
                <w:sz w:val="26"/>
                <w:szCs w:val="26"/>
              </w:rPr>
            </w:pPr>
            <w:r>
              <w:rPr>
                <w:rFonts w:eastAsia="NSimSun" w:cs="Calibri" w:cstheme="minorHAnsi"/>
                <w:b/>
                <w:color w:val="000000"/>
                <w:kern w:val="2"/>
                <w:sz w:val="22"/>
                <w:szCs w:val="22"/>
                <w:lang w:val="es-ES" w:eastAsia="zh-CN" w:bidi="hi-IN"/>
              </w:rPr>
              <w:t/>
            </w:r>
            <w:r>
              <w:rPr>
                <w:rFonts w:eastAsia="Tahoma" w:cs="Calibri" w:cstheme="minorHAnsi"/>
                <w:b/>
                <w:color w:val="000000"/>
                <w:kern w:val="2"/>
                <w:sz w:val="26"/>
                <w:szCs w:val="26"/>
                <w:lang w:val="es-ES" w:eastAsia="zh-CN" w:bidi="hi-IN"/>
              </w:rPr>
              <w:t>Estrategias/metodologías de evaluación</w:t>
            </w:r>
            <w:r>
              <w:rPr>
                <w:rFonts w:eastAsia="NSimSun" w:cs="Calibri" w:cstheme="minorHAnsi"/>
                <w:b/>
                <w:color w:val="000000"/>
                <w:kern w:val="2"/>
                <w:sz w:val="22"/>
                <w:szCs w:val="22"/>
                <w:lang w:val="es-ES" w:eastAsia="zh-CN" w:bidi="hi-IN"/>
              </w:rPr>
              <w:t/>
            </w:r>
          </w:p>
        </w:tc>
        <w:tc>
          <w:tcPr>
            <w:tcW w:w="1869" w:type="dxa"/>
            <w:tcBorders>
              <w:left w:val="single" w:sz="4" w:space="0" w:color="000000"/>
              <w:bottom w:val="single" w:sz="4" w:space="0" w:color="000000"/>
              <w:right w:val="single" w:sz="4" w:space="0" w:color="000000"/>
            </w:tcBorders>
            <w:shd w:color="auto" w:fill="BFBFBF" w:themeFill="background1" w:themeFillShade="bf"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Tahoma" w:cs="Calibri" w:cstheme="minorHAnsi"/>
                <w:b/>
              </w:rPr>
              <w:t>Porcentaje de valoración sobre el total</w:t>
            </w:r>
          </w:p>
        </w:tc>
      </w:tr>
      <w:tr>
        <w:trPr>
          <w:trHeight w:val="75" w:hRule="atLeast"/>
        </w:trPr>
        <w:tc>
          <w:tcPr>
            <w:tcW w:w="7937" w:type="dxa"/>
            <w:gridSpan w:val="4"/>
            <w:tcBorders>
              <w:left w:val="single" w:sz="4" w:space="0" w:color="000000"/>
              <w:bottom w:val="single" w:sz="4" w:space="0" w:color="000000"/>
              <w:right w:val="single" w:sz="4" w:space="0" w:color="000000"/>
            </w:tcBorders>
            <w:shd w:color="auto" w:fill="auto"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Casos y supuestos prácticos</w:t>
            </w:r>
          </w:p>
        </w:tc>
        <w:tc>
          <w:tcPr>
            <w:tcW w:w="1869" w:type="dxa"/>
            <w:tcBorders>
              <w:left w:val="single" w:sz="4" w:space="0" w:color="000000"/>
              <w:bottom w:val="single" w:sz="4" w:space="0" w:color="000000"/>
              <w:right w:val="single" w:sz="4" w:space="0" w:color="000000"/>
            </w:tcBorders>
            <w:shd w:color="auto" w:fill="auto" w:val="clear"/>
            <w:tcMar>
              <w:top w:w="0" w:type="dxa"/>
              <w:left w:w="10" w:type="dxa"/>
              <w:bottom w:w="0" w:type="dxa"/>
              <w:right w:w="10"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25%</w:t>
            </w:r>
          </w:p>
        </w:tc>
      </w:tr>
      <w:tr>
        <w:trPr>
          <w:trHeight w:val="75" w:hRule="atLeast"/>
        </w:trPr>
        <w:tc>
          <w:tcPr>
            <w:tcW w:w="7937" w:type="dxa"/>
            <w:gridSpan w:val="4"/>
            <w:tcBorders>
              <w:left w:val="single" w:sz="4" w:space="0" w:color="000000"/>
              <w:bottom w:val="single" w:sz="4" w:space="0" w:color="000000"/>
              <w:right w:val="single" w:sz="4" w:space="0" w:color="000000"/>
            </w:tcBorders>
            <w:shd w:color="auto" w:fill="auto"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Pruebas de respuesta larga</w:t>
            </w:r>
          </w:p>
        </w:tc>
        <w:tc>
          <w:tcPr>
            <w:tcW w:w="1869" w:type="dxa"/>
            <w:tcBorders>
              <w:left w:val="single" w:sz="4" w:space="0" w:color="000000"/>
              <w:bottom w:val="single" w:sz="4" w:space="0" w:color="000000"/>
              <w:right w:val="single" w:sz="4" w:space="0" w:color="000000"/>
            </w:tcBorders>
            <w:shd w:color="auto" w:fill="auto" w:val="clear"/>
            <w:tcMar>
              <w:top w:w="0" w:type="dxa"/>
              <w:left w:w="10" w:type="dxa"/>
              <w:bottom w:w="0" w:type="dxa"/>
              <w:right w:w="10"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50%</w:t>
            </w:r>
          </w:p>
        </w:tc>
      </w:tr>
      <w:tr>
        <w:trPr>
          <w:trHeight w:val="75" w:hRule="atLeast"/>
        </w:trPr>
        <w:tc>
          <w:tcPr>
            <w:tcW w:w="7937" w:type="dxa"/>
            <w:gridSpan w:val="4"/>
            <w:tcBorders>
              <w:left w:val="single" w:sz="4" w:space="0" w:color="000000"/>
              <w:bottom w:val="single" w:sz="4" w:space="0" w:color="000000"/>
              <w:right w:val="single" w:sz="4" w:space="0" w:color="000000"/>
            </w:tcBorders>
            <w:shd w:color="auto" w:fill="auto"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Trabajos en grupo</w:t>
            </w:r>
          </w:p>
        </w:tc>
        <w:tc>
          <w:tcPr>
            <w:tcW w:w="1869" w:type="dxa"/>
            <w:tcBorders>
              <w:left w:val="single" w:sz="4" w:space="0" w:color="000000"/>
              <w:bottom w:val="single" w:sz="4" w:space="0" w:color="000000"/>
              <w:right w:val="single" w:sz="4" w:space="0" w:color="000000"/>
            </w:tcBorders>
            <w:shd w:color="auto" w:fill="auto" w:val="clear"/>
            <w:tcMar>
              <w:top w:w="0" w:type="dxa"/>
              <w:left w:w="10" w:type="dxa"/>
              <w:bottom w:w="0" w:type="dxa"/>
              <w:right w:w="10"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25%</w:t>
            </w:r>
          </w:p>
        </w:tc>
      </w:tr>
      <w:tr>
        <w:trPr/>
        <w:tc>
          <w:tcPr>
            <w:tcW w:w="9806" w:type="dxa"/>
            <w:gridSpan w:val="5"/>
            <w:tcBorders>
              <w:left w:val="single" w:sz="4" w:space="0" w:color="000000"/>
              <w:bottom w:val="single" w:sz="4" w:space="0" w:color="000000"/>
              <w:right w:val="single" w:sz="4" w:space="0" w:color="000000"/>
            </w:tcBorders>
            <w:shd w:fill="CCCCCC" w:val="clear"/>
          </w:tcPr>
          <w:p>
            <w:pPr>
              <w:pStyle w:val="Normal"/>
              <w:widowControl w:val="false"/>
              <w:suppressLineNumbers/>
              <w:suppressAutoHyphens w:val="true"/>
              <w:spacing w:lineRule="auto" w:line="240" w:before="0" w:after="0"/>
              <w:contextualSpacing/>
              <w:jc w:val="center"/>
              <w:textAlignment w:val="baseline"/>
              <w:rPr>
                <w:rFonts w:ascii="Calibri" w:hAnsi="Calibri" w:eastAsia="NSimSun" w:cs="Calibri" w:cstheme="minorHAnsi"/>
                <w:b/>
                <w:b/>
                <w:color w:val="000000"/>
                <w:kern w:val="2"/>
                <w:sz w:val="24"/>
                <w:szCs w:val="24"/>
                <w:lang w:val="es-ES" w:eastAsia="zh-CN" w:bidi="hi-IN"/>
              </w:rPr>
            </w:pPr>
            <w:r>
              <w:rPr>
                <w:rFonts w:eastAsia="NSimSun" w:cs="Calibri" w:cstheme="minorHAnsi"/>
                <w:b/>
                <w:color w:val="000000"/>
                <w:kern w:val="2"/>
                <w:sz w:val="24"/>
                <w:szCs w:val="24"/>
                <w:lang w:val="es-ES" w:eastAsia="zh-CN" w:bidi="hi-IN"/>
              </w:rPr>
              <w:t>MEDIOS Y RECURSOS DIDÁCTICOS</w:t>
            </w:r>
          </w:p>
        </w:tc>
      </w:tr>
      <w:tr>
        <w:trPr/>
        <w:tc>
          <w:tcPr>
            <w:tcW w:w="9806" w:type="dxa"/>
            <w:gridSpan w:val="5"/>
            <w:tcBorders>
              <w:left w:val="single" w:sz="4" w:space="0" w:color="000000"/>
              <w:bottom w:val="single" w:sz="4" w:space="0" w:color="000000"/>
              <w:right w:val="single" w:sz="4" w:space="0" w:color="000000"/>
            </w:tcBorders>
          </w:tcPr>
          <w:p>
            <w:pPr>
              <w:pStyle w:val="Normal"/>
              <w:widowControl w:val="false"/>
              <w:spacing w:before="0" w:after="0"/>
              <w:contextualSpacing/>
              <w:rPr>
                <w:rFonts w:eastAsia="NSimSun" w:cs="Calibri" w:cstheme="minorHAnsi"/>
                <w:b/>
                <w:b/>
                <w:color w:val="000000"/>
                <w:kern w:val="2"/>
                <w:sz w:val="24"/>
                <w:szCs w:val="24"/>
                <w:lang w:eastAsia="zh-CN" w:bidi="hi-IN"/>
              </w:rPr>
            </w:pPr>
            <w:r>
              <w:rPr/>
              <w:t xml:space="preserve"/>
            </w:r>
            <w:r>
              <w:rPr>
                <w:sz w:val="22"/>
                <w:szCs w:val="22"/>
              </w:rPr>
              <w:t xml:space="preserve">Lección magistral    </w:t>
            </w:r>
            <w:r>
              <w:t xml:space="preserve"/>
              <w:br/>
              <w:t xml:space="preserve"/>
            </w:r>
            <w:r>
              <w:rPr>
                <w:sz w:val="22"/>
                <w:szCs w:val="22"/>
              </w:rPr>
              <w:t xml:space="preserve">Trabajos en grupo y/o exposiciones en grupo</w:t>
            </w:r>
            <w:r>
              <w:t xml:space="preserve"/>
              <w:br/>
              <w:t xml:space="preserve"/>
            </w:r>
            <w:r>
              <w:rPr>
                <w:sz w:val="22"/>
                <w:szCs w:val="22"/>
              </w:rPr>
              <w:t xml:space="preserve">Estudio y análisis de materiales y lecturas</w:t>
            </w:r>
            <w:r>
              <w:t xml:space="preserve"/>
              <w:br/>
              <w:t xml:space="preserve"/>
            </w:r>
            <w:r>
              <w:t xml:space="preserve"/>
              <w:br/>
              <w:t xml:space="preserve"/>
            </w:r>
            <w:r>
              <w:t xml:space="preserve"/>
            </w:r>
          </w:p>
        </w:tc>
      </w:tr>
      <w:tr>
        <w:trPr/>
        <w:tc>
          <w:tcPr>
            <w:tcW w:w="9806" w:type="dxa"/>
            <w:gridSpan w:val="5"/>
            <w:tcBorders>
              <w:left w:val="single" w:sz="4" w:space="0" w:color="000000"/>
              <w:bottom w:val="single" w:sz="4" w:space="0" w:color="000000"/>
              <w:right w:val="single" w:sz="4" w:space="0" w:color="000000"/>
            </w:tcBorders>
            <w:shd w:fill="CCCCCC"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BIBLIOGRAFÍA</w:t>
            </w:r>
          </w:p>
        </w:tc>
      </w:tr>
      <w:tr>
        <w:trPr>
          <w:trHeight w:val="522" w:hRule="atLeast"/>
        </w:trPr>
        <w:tc>
          <w:tcPr>
            <w:tcW w:w="9806" w:type="dxa"/>
            <w:gridSpan w:val="5"/>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before="0" w:after="0"/>
              <w:contextualSpacing/>
              <w:rPr>
                <w:rFonts w:eastAsia="NSimSun" w:cs="Calibri" w:cstheme="minorHAnsi"/>
                <w:b/>
                <w:b/>
                <w:color w:val="000000"/>
                <w:kern w:val="2"/>
                <w:sz w:val="24"/>
                <w:szCs w:val="24"/>
                <w:lang w:eastAsia="zh-CN" w:bidi="hi-IN"/>
              </w:rPr>
            </w:pPr>
            <w:r>
              <w:rPr/>
              <w:t xml:space="preserve"/>
            </w:r>
            <w:r>
              <w:rPr>
                <w:sz w:val="22"/>
                <w:szCs w:val="22"/>
              </w:rPr>
              <w:t xml:space="preserve">    • Botella, J Crespo, A Rivas, I Cerrillo, MF Olea-Serrano, N Olea Exposure of women to organochlorine pesticides in Southern Spain, Environmental Research 2004, 96 (1), 34-40</w:t>
            </w:r>
            <w:r>
              <w:t xml:space="preserve"/>
              <w:br/>
              <w:t xml:space="preserve"/>
            </w:r>
            <w:r>
              <w:rPr>
                <w:sz w:val="22"/>
                <w:szCs w:val="22"/>
              </w:rPr>
              <w:t xml:space="preserve">    • Cerrillo, A Granada, MJ López-Espinosa, B Olmos, M Jiménez, A Caño, et al. Endosulfan and its metabolites in fertile women, placenta, cord blood, and human milk Environmental Research 2005, 98 (2), 233-239</w:t>
            </w:r>
            <w:r>
              <w:t xml:space="preserve"/>
              <w:br/>
              <w:t xml:space="preserve"/>
            </w:r>
            <w:r>
              <w:rPr>
                <w:sz w:val="22"/>
                <w:szCs w:val="22"/>
              </w:rPr>
              <w:t xml:space="preserve">    • Contreras, J.; Gracia-Arnaiz, M. Alimentación y Cultura. Perspectivas Antropológicas; Ariel: Barcelona, Spain, 2005; Volume 505, ISBN 9788434422230</w:t>
            </w:r>
            <w:r>
              <w:t xml:space="preserve"/>
              <w:br/>
              <w:t xml:space="preserve"/>
            </w:r>
            <w:r>
              <w:rPr>
                <w:sz w:val="22"/>
                <w:szCs w:val="22"/>
              </w:rPr>
              <w:t xml:space="preserve">    • Del campo al Cole (2018). Los comedores escolares en España. Del diagnóstico a las propuestas. Recuperado de: http://delcampoalcole.org/investigacion/¡Error! Referencia de hipervínculo no válida.</w:t>
            </w:r>
            <w:r>
              <w:t xml:space="preserve"/>
              <w:br/>
              <w:t xml:space="preserve"/>
            </w:r>
            <w:r>
              <w:rPr>
                <w:sz w:val="22"/>
                <w:szCs w:val="22"/>
              </w:rPr>
              <w:t xml:space="preserve">    • Díaz Méndez, I García Espejo, R Gutiérrez Palacios, A Novo Vázquez, Hábitos alimentarios de los españoles Ministerio de Agricultura, Alimentación y Medio Ambiente, 2013</w:t>
            </w:r>
            <w:r>
              <w:t xml:space="preserve"/>
              <w:br/>
              <w:t xml:space="preserve"/>
            </w:r>
            <w:r>
              <w:rPr>
                <w:sz w:val="22"/>
                <w:szCs w:val="22"/>
              </w:rPr>
              <w:t xml:space="preserve">    • Díaz Méndez, IG Espejo, La mirada sociológica hacia la alimentación: análisis crítico del desarrollo de la investigación en el campo alimentario, Política y Sociedad 2014, 51 (1), 15-49</w:t>
            </w:r>
            <w:r>
              <w:t xml:space="preserve"/>
              <w:br/>
              <w:t xml:space="preserve"/>
            </w:r>
            <w:r>
              <w:rPr>
                <w:sz w:val="22"/>
                <w:szCs w:val="22"/>
              </w:rPr>
              <w:t xml:space="preserve">    • Díaz-Méndez Estabilidad y cambio en los hábitos alimentarios de los españoles. Acta pediátrica española 2016, 74 (1)</w:t>
            </w:r>
            <w:r>
              <w:t xml:space="preserve"/>
              <w:br/>
              <w:t xml:space="preserve"/>
            </w:r>
            <w:r>
              <w:rPr>
                <w:sz w:val="22"/>
                <w:szCs w:val="22"/>
              </w:rPr>
              <w:t xml:space="preserve">    • Díaz-Méndez, I García-Espejo ,Eating practice models in Spain and the United Kingdom: A comparative time-use analysis International Journal of Comparative Sociology 2014, 55 (1), 24-44</w:t>
            </w:r>
            <w:r>
              <w:t xml:space="preserve"/>
              <w:br/>
              <w:t xml:space="preserve"/>
            </w:r>
            <w:r>
              <w:rPr>
                <w:sz w:val="22"/>
                <w:szCs w:val="22"/>
              </w:rPr>
              <w:t xml:space="preserve">    • Echeverría R, Vrhovnik P, Salcedo-Bellido I, Pérez-Carrascosa FM, Gómez-Peña C, eta.,  Associations of residential and occupational history with the distribution of persistent pollutant mixtures in adipose tissue samples. Environ Res. 2021 Mar;194:110687</w:t>
            </w:r>
            <w:r>
              <w:t xml:space="preserve"/>
              <w:br/>
              <w:t xml:space="preserve"/>
            </w:r>
            <w:r>
              <w:rPr>
                <w:sz w:val="22"/>
                <w:szCs w:val="22"/>
              </w:rPr>
              <w:t xml:space="preserve">    • Echeverría R, Vrhovnik P, Salcedo-Bellido I, Iribarne-Durán LM, Fiket Ž, wt al. Levels and determinants of adipose tissue cadmium concentrations in an adult cohort from Southern Spain. Sci Total Environ. 2019 Jun 20;670:1028-1036</w:t>
            </w:r>
            <w:r>
              <w:t xml:space="preserve"/>
              <w:br/>
              <w:t xml:space="preserve"/>
            </w:r>
            <w:r>
              <w:rPr>
                <w:sz w:val="22"/>
                <w:szCs w:val="22"/>
              </w:rPr>
              <w:t xml:space="preserve">    • Esteban, A; Fernández, J.L; Gónzalez, L. (2019). Alimentar el cambio. Guia prácica. experiencia y reflexiones sobre comedores escolares educativos, sostenibles y saludables.Garúa y Ecologistas en acción Madrid: Libros en accion.</w:t>
            </w:r>
            <w:r>
              <w:t xml:space="preserve"/>
              <w:br/>
              <w:t xml:space="preserve"/>
            </w:r>
            <w:r>
              <w:rPr>
                <w:sz w:val="22"/>
                <w:szCs w:val="22"/>
              </w:rPr>
              <w:t xml:space="preserve">    • FEADRS. (2009). La función social de la restauración colectiva. Distribucion y Consumo. 50-57.</w:t>
            </w:r>
            <w:r>
              <w:t xml:space="preserve"/>
              <w:br/>
              <w:t xml:space="preserve"/>
            </w:r>
            <w:r>
              <w:rPr>
                <w:sz w:val="22"/>
                <w:szCs w:val="22"/>
              </w:rPr>
              <w:t xml:space="preserve">    • Fernandez, J. L ; Morán, N. (2017). La compra publica como factor de impulso agroecologico o de como Guilliver termino apoyando Liliput. En López, D; Fernández, J,L; Morán, N; Oteros, E. Arraigar las instituciones (págs. 192-200). Madrid: Libros en acción.</w:t>
            </w:r>
            <w:r>
              <w:t xml:space="preserve"/>
              <w:br/>
              <w:t xml:space="preserve"/>
            </w:r>
            <w:r>
              <w:rPr>
                <w:sz w:val="22"/>
                <w:szCs w:val="22"/>
              </w:rPr>
              <w:t xml:space="preserve">    • Fernández-Rodríguez M, Arrebola JP, Artacho-Cordón F, Amaya E, Aragones N, Llorca J, et al., Levels and predictors of persistent organic pollutants in an adult population from four Spanish regions. Sci Total Environ. 2015 Dec 15;538:152-61.</w:t>
            </w:r>
            <w:r>
              <w:t xml:space="preserve"/>
              <w:br/>
              <w:t xml:space="preserve"/>
            </w:r>
            <w:r>
              <w:rPr>
                <w:sz w:val="22"/>
                <w:szCs w:val="22"/>
              </w:rPr>
              <w:t xml:space="preserve">    • Fischler, C. El (h)omnívoro. El gusto, la cocina y el Cuerpo; Anagrama: Barcelona, Spain, 1995; Volume 424, ISBN 9788433913982.</w:t>
            </w:r>
            <w:r>
              <w:t xml:space="preserve"/>
              <w:br/>
              <w:t xml:space="preserve"/>
            </w:r>
            <w:r>
              <w:rPr>
                <w:sz w:val="22"/>
                <w:szCs w:val="22"/>
              </w:rPr>
              <w:t xml:space="preserve">    • Freire C, Suárez B, Vela-Soria F, Castiello F, Reina-Pérez I, Andersen HR, Olea N, Fernández MF. Urinary metabolites of non-persistent pesticides and serum hormones in Spanish adolescent males. Environ Res. 2021 Jun;197:111016.</w:t>
            </w:r>
            <w:r>
              <w:t xml:space="preserve"/>
              <w:br/>
              <w:t xml:space="preserve"/>
            </w:r>
            <w:r>
              <w:rPr>
                <w:sz w:val="22"/>
                <w:szCs w:val="22"/>
              </w:rPr>
              <w:t xml:space="preserve">    • Freire C, Amaya E, Gil F, Fernández MF, Murcia M, Llop S, et al,INMA Project. Prenatal co-exposure to neurotoxic metals and neurodevelopment in preschool children: The Environment and Childhood (INMA) Project. Sci Total Environ. 2018 Apr 15;621:340-351.</w:t>
            </w:r>
            <w:r>
              <w:t xml:space="preserve"/>
              <w:br/>
              <w:t xml:space="preserve"/>
            </w:r>
            <w:r>
              <w:rPr>
                <w:sz w:val="22"/>
                <w:szCs w:val="22"/>
              </w:rPr>
              <w:t xml:space="preserve">    • Fuentes-Guerra, R; Toral, I ; Martín, A. (2015). Alimentación Responsable en la Escuela Pública.Una experiencia en el Eco-comedor autogestionado. Habitat y Sociedad. (8): 169-179.</w:t>
            </w:r>
            <w:r>
              <w:t xml:space="preserve"/>
              <w:br/>
              <w:t xml:space="preserve"/>
            </w:r>
            <w:r>
              <w:rPr>
                <w:sz w:val="22"/>
                <w:szCs w:val="22"/>
              </w:rPr>
              <w:t xml:space="preserve">    • Gallar Hernández, D.; Saracho-Domínguez, H.; Rivera-Ferré, M.G.; Vara-Sánchez, I. Eating Well with Organic Food: Everyday (Non-Monetary) Strategies for a Change in Food Paradigms: Findings from Andalusia, Spain. Sustainability 2019, 11, 1003. https://doi.org/10.3390/su11041003</w:t>
            </w:r>
            <w:r>
              <w:t xml:space="preserve"/>
              <w:br/>
              <w:t xml:space="preserve"/>
            </w:r>
            <w:r>
              <w:rPr>
                <w:sz w:val="22"/>
                <w:szCs w:val="22"/>
              </w:rPr>
              <w:t xml:space="preserve">    • Garúa. (2017). Alimentar el cambio.Diagnóstico sobre los comedores escolares de la Comunidad de Madrid y su transición hacia modelos más saludables y sostenibles.Recuperado de: http://alimentarelcambio.es/wp-content/uploads/2017/03/informe_reducido.pdf [ consultado: 05-06-2019]</w:t>
            </w:r>
            <w:r>
              <w:t xml:space="preserve"/>
              <w:br/>
              <w:t xml:space="preserve"/>
            </w:r>
            <w:r>
              <w:rPr>
                <w:sz w:val="22"/>
                <w:szCs w:val="22"/>
              </w:rPr>
              <w:t xml:space="preserve">    • Garúa. (2019). Escuelas infantiles madrileñas “Kilómetro 0”: gazpacho y melón ecológico para combatir el calor en 4 escuelas infantiles madrileñas. Alimentar el cambio</w:t>
            </w:r>
            <w:r>
              <w:t xml:space="preserve"/>
              <w:br/>
              <w:t xml:space="preserve"/>
            </w:r>
            <w:r>
              <w:rPr>
                <w:sz w:val="22"/>
                <w:szCs w:val="22"/>
              </w:rPr>
              <w:t xml:space="preserve">    • González-Garzón; L, M; Pérez, C; Pérez, M. (2003). Comedor escolar: tiempo y espacio educativo. Pulso. 9(3):39-51.</w:t>
            </w:r>
            <w:r>
              <w:t xml:space="preserve"/>
              <w:br/>
              <w:t xml:space="preserve"/>
            </w:r>
            <w:r>
              <w:rPr>
                <w:sz w:val="22"/>
                <w:szCs w:val="22"/>
              </w:rPr>
              <w:t xml:space="preserve">    • Gonzalez, L.( 2016). Comedores escolares ecológicos. Experiencias de transición y potencial educativo. VI Congreso internacional de agroecoloxía. Universidad de Vigo. Obtenido de: https://tv.uvigo.es/video/5b5b64fc8f4208025d811b2c, VI Congreso Internacional de Agroecoloxía.[ consultado: 08-08-2019]</w:t>
            </w:r>
            <w:r>
              <w:t xml:space="preserve"/>
              <w:br/>
              <w:t xml:space="preserve"/>
            </w:r>
            <w:r>
              <w:rPr>
                <w:sz w:val="22"/>
                <w:szCs w:val="22"/>
              </w:rPr>
              <w:t xml:space="preserve">    • González-Alzaga B, Lacasaña M, Hernández AF, Arrebola JP, López-Flores I,Artacho-Cordón F, et al., Serum concentrations of organochlorine compounds and predictors of exposure in children living in agricultural communities from South-Eastern Spain. Environ Pollut. 2018 Jun;237:685-694.</w:t>
            </w:r>
            <w:r>
              <w:t xml:space="preserve"/>
              <w:br/>
              <w:t xml:space="preserve"/>
            </w:r>
            <w:r>
              <w:rPr>
                <w:sz w:val="22"/>
                <w:szCs w:val="22"/>
              </w:rPr>
              <w:t xml:space="preserve">    • Guthman, J. Bringing good food to others: Investigating the subjects of alternative food practice. Cult. Geogr. 2008, 15, 431–447</w:t>
            </w:r>
            <w:r>
              <w:t xml:space="preserve"/>
              <w:br/>
              <w:t xml:space="preserve"/>
            </w:r>
            <w:r>
              <w:rPr>
                <w:sz w:val="22"/>
                <w:szCs w:val="22"/>
              </w:rPr>
              <w:t xml:space="preserve">    • Hughner, R.S.; McDonagh, P.; Prothero, A.; Shultz, C.J.; Stanton, J. Who are organic food consumers? A compilation and review of why people purchase organic food. J. Consum. Behav. 2007, 6, 94–110.</w:t>
            </w:r>
            <w:r>
              <w:t xml:space="preserve"/>
              <w:br/>
              <w:t xml:space="preserve"/>
            </w:r>
            <w:r>
              <w:rPr>
                <w:sz w:val="22"/>
                <w:szCs w:val="22"/>
              </w:rPr>
              <w:t xml:space="preserve">    • Lockie, S. ‘The Invisible Mouth’: Mobilizing ‘the Consumer’ in Food Production–Consumption Networks. Sociol. Rural. 2002, 42, 278–294.</w:t>
            </w:r>
            <w:r>
              <w:t xml:space="preserve"/>
              <w:br/>
              <w:t xml:space="preserve"/>
            </w:r>
            <w:r>
              <w:rPr>
                <w:sz w:val="22"/>
                <w:szCs w:val="22"/>
              </w:rPr>
              <w:t xml:space="preserve">    • Mares Madrid. (2019). Recetas y conclusiones de la CAP de comedores ecológicos en escuelas infantiles.</w:t>
            </w:r>
            <w:r>
              <w:t xml:space="preserve"/>
              <w:br/>
              <w:t xml:space="preserve"/>
            </w:r>
            <w:r>
              <w:rPr>
                <w:sz w:val="22"/>
                <w:szCs w:val="22"/>
              </w:rPr>
              <w:t xml:space="preserve">    • Mosquera, C. (2016). Alimentación saludable y de producción ecológica en los comedores escolares de Asturias.</w:t>
            </w:r>
            <w:r>
              <w:t xml:space="preserve"/>
              <w:br/>
              <w:t xml:space="preserve"/>
            </w:r>
            <w:r>
              <w:rPr>
                <w:sz w:val="22"/>
                <w:szCs w:val="22"/>
              </w:rPr>
              <w:t xml:space="preserve">    • Mustieles V, Fernández MF, Martin-Olmedo P, González-Alzaga B, Fontalba-Navas A, et al., Human adipose tissue levels of persistent organic pollutants and metabolic syndrome components: Combining a cross-sectional with a 10-year longitudinal study using a multi-pollutant approach. Environ Int. 2017 Jul;104:48-57.</w:t>
            </w:r>
            <w:r>
              <w:t xml:space="preserve"/>
              <w:br/>
              <w:t xml:space="preserve"/>
            </w:r>
            <w:r>
              <w:rPr>
                <w:sz w:val="22"/>
                <w:szCs w:val="22"/>
              </w:rPr>
              <w:t xml:space="preserve">    • Pastor-Barriuso R, Fernández MF, Castaño-Vinyals G, Whelan D, Pérez-Gómez B, Llorca J, et al., Total Effective Xenoestrogen Burden in Serum Samples and Risk for Breast Cancer in a Population-Based Multicase-Control Study in Spain. Environ Health Perspect. 2016 Oct;124(10):1575-1582.</w:t>
            </w:r>
            <w:r>
              <w:t xml:space="preserve"/>
              <w:br/>
              <w:t xml:space="preserve"/>
            </w:r>
            <w:r>
              <w:rPr>
                <w:sz w:val="22"/>
                <w:szCs w:val="22"/>
              </w:rPr>
              <w:t xml:space="preserve">    • Perez-Lobato R, Mustieles V, Calvente I, Jimenez-Diaz I, Ramos R, Caballero-Casero N, et al., Exposure to bisphenol A and behavior in school-age children. Neurotoxicology. 2016 Mar;53:12-19</w:t>
            </w:r>
            <w:r>
              <w:t xml:space="preserve"/>
              <w:br/>
              <w:t xml:space="preserve"/>
            </w:r>
            <w:r>
              <w:rPr>
                <w:sz w:val="22"/>
                <w:szCs w:val="22"/>
              </w:rPr>
              <w:t xml:space="preserve">    • Plataforma por comedores públicos y de calidad. (2016). Innovación social en la gestión de comedores escolares públicos en Aragón.</w:t>
            </w:r>
            <w:r>
              <w:t xml:space="preserve"/>
              <w:br/>
              <w:t xml:space="preserve"/>
            </w:r>
            <w:r>
              <w:rPr>
                <w:sz w:val="22"/>
                <w:szCs w:val="22"/>
              </w:rPr>
              <w:t xml:space="preserve">    • Pollan, M. The Omnivore’s Dilemma: A Natural History of Four Meals; The Penguin Press: London, UK, 2006.</w:t>
            </w:r>
            <w:r>
              <w:t xml:space="preserve"/>
              <w:br/>
              <w:t xml:space="preserve"/>
            </w:r>
            <w:r>
              <w:rPr>
                <w:sz w:val="22"/>
                <w:szCs w:val="22"/>
              </w:rPr>
              <w:t xml:space="preserve">    • Poulain, J.P. The Sociology of Food: Eating and Place of Food in Society; Bloomsbury: London, UK, 2017.</w:t>
            </w:r>
            <w:r>
              <w:t xml:space="preserve"/>
              <w:br/>
              <w:t xml:space="preserve"/>
            </w:r>
            <w:r>
              <w:rPr>
                <w:sz w:val="22"/>
                <w:szCs w:val="22"/>
              </w:rPr>
              <w:t xml:space="preserve">    • Rodríguez-Pérez C, Vrhovnik P, González-Alzaga B, Fernández MF, Martin-Olmedo P, Olea N, et al., Socio-demographic, lifestyle, and dietary determinants of essential and possibly-essential trace element levels in adipose tissue from an adult cohort. Environ Pollut. 2018 May;236:878-888.</w:t>
            </w:r>
            <w:r>
              <w:t xml:space="preserve"/>
              <w:br/>
              <w:t xml:space="preserve"/>
            </w:r>
            <w:r>
              <w:rPr>
                <w:sz w:val="22"/>
                <w:szCs w:val="22"/>
              </w:rPr>
              <w:t xml:space="preserve">    • Santos, Vega (2019), Experiencias de comedores escolares agroecológicos. Recomendaciones para comedores escolares de Córdoba. Trabajo de Fin de Máster. UCO</w:t>
            </w:r>
            <w:r>
              <w:t xml:space="preserve"/>
              <w:br/>
              <w:t xml:space="preserve"/>
            </w:r>
            <w:r>
              <w:rPr>
                <w:sz w:val="22"/>
                <w:szCs w:val="22"/>
              </w:rPr>
              <w:t xml:space="preserve">    • Sirieix, L.; Kledal, P.R.; Sulitang, T. Organic food consumers’ trade-offs between local or imported, conventional or organic products: A qualitative study in Shanghai. Int. J. Consum. Stud. 2011, 35, 670–678.</w:t>
            </w:r>
            <w:r>
              <w:t xml:space="preserve"/>
              <w:br/>
              <w:t xml:space="preserve"/>
            </w:r>
            <w:r>
              <w:rPr>
                <w:sz w:val="22"/>
                <w:szCs w:val="22"/>
              </w:rPr>
              <w:t xml:space="preserve">    • Soares, P; Martinez-Mian, M; Caballero, P; Vives-Cases, C; Davó- Blanes, M. C. (2017). Alimentos de producción local en los comedores escolares de España. Gaceta Sanitaria. 31, 466-471.</w:t>
            </w:r>
            <w:r>
              <w:t xml:space="preserve"/>
              <w:br/>
              <w:t xml:space="preserve"/>
            </w:r>
            <w:r>
              <w:rPr>
                <w:sz w:val="22"/>
                <w:szCs w:val="22"/>
              </w:rPr>
              <w:t xml:space="preserve">    • Soler, C; Duch, G. (2011). La soberanía alimentaria en las mesas de los colegios. Amigos de la Tierra.</w:t>
            </w:r>
            <w:r>
              <w:t xml:space="preserve"/>
              <w:br/>
              <w:t xml:space="preserve"/>
            </w:r>
            <w:r>
              <w:rPr>
                <w:sz w:val="22"/>
                <w:szCs w:val="22"/>
              </w:rPr>
              <w:t xml:space="preserve">    • Southerton, C Díaz-Méndez, A Warde Behavioural change and the temporal ordering of eating practices: A UK–Spain comparison The International Journal of Sociology of Agriculture and Food 2012, 19 (1), 19-36</w:t>
            </w:r>
            <w:r>
              <w:t xml:space="preserve"/>
              <w:br/>
              <w:t xml:space="preserve"/>
            </w:r>
            <w:r>
              <w:rPr>
                <w:sz w:val="22"/>
                <w:szCs w:val="22"/>
              </w:rPr>
              <w:t xml:space="preserve">    • Suárez B, Vela-Soria F, Castiello F, Olivas-Martinez A, Acuña-Castroviejo D, Gómez-Vida J, Olea N, et al., Organophosphate pesticide exposure, hormone levels, and interaction with PON1 polymorphisms in male adolescents. Sci Total Environ. 2021 May 15;769:144563.</w:t>
            </w:r>
            <w:r>
              <w:t xml:space="preserve"/>
              <w:br/>
              <w:t xml:space="preserve"/>
            </w:r>
            <w:r>
              <w:rPr>
                <w:sz w:val="22"/>
                <w:szCs w:val="22"/>
              </w:rPr>
              <w:t xml:space="preserve">    • Vandenberg, R Hauser, M Marcus, N Olea, WV Welshons, Human exposure to bisphenol A (BPA), Reproductive toxicology 2007, 24 (2), 139-177</w:t>
            </w:r>
            <w:r>
              <w:t xml:space="preserve"/>
              <w:br/>
              <w:t xml:space="preserve"/>
            </w:r>
            <w:r>
              <w:rPr>
                <w:sz w:val="22"/>
                <w:szCs w:val="22"/>
              </w:rPr>
              <w:t xml:space="preserve">    • VSF- Justicia Alimentaria, (2017). Comedores escolares en la CAV. Recuperado de: https://justiciaalimentaria.org/recursos/comedores-escolares-en-la-cav.</w:t>
            </w:r>
            <w:r>
              <w:t xml:space="preserve"/>
              <w:br/>
              <w:t xml:space="preserve"/>
            </w:r>
            <w:r>
              <w:t xml:space="preserve"/>
              <w:br/>
              <w:t xml:space="preserve"/>
            </w:r>
            <w:r>
              <w:t xml:space="preserve"/>
            </w:r>
          </w:p>
        </w:tc>
      </w:tr>
      <w:tr>
        <w:trPr>
          <w:trHeight w:val="413" w:hRule="atLeast"/>
        </w:trPr>
        <w:tc>
          <w:tcPr>
            <w:tcW w:w="9806" w:type="dxa"/>
            <w:gridSpan w:val="5"/>
            <w:tcBorders>
              <w:left w:val="single" w:sz="4" w:space="0" w:color="000000"/>
              <w:bottom w:val="single" w:sz="4" w:space="0" w:color="000000"/>
              <w:right w:val="single" w:sz="4" w:space="0" w:color="000000"/>
            </w:tcBorders>
            <w:shd w:fill="CCCCCC" w:val="clear"/>
          </w:tcPr>
          <w:p>
            <w:pPr>
              <w:pStyle w:val="Normal"/>
              <w:widowControl w:val="false"/>
              <w:suppressLineNumbers/>
              <w:suppressAutoHyphens w:val="true"/>
              <w:spacing w:lineRule="auto" w:line="240" w:before="0" w:after="0"/>
              <w:contextualSpacing/>
              <w:jc w:val="center"/>
              <w:textAlignment w:val="baseline"/>
              <w:rPr>
                <w:rFonts w:ascii="Calibri" w:hAnsi="Calibri" w:eastAsia="NSimSun" w:cs="Calibri" w:cstheme="minorHAnsi"/>
                <w:b/>
                <w:b/>
                <w:color w:val="000000"/>
                <w:kern w:val="2"/>
                <w:sz w:val="24"/>
                <w:szCs w:val="24"/>
                <w:lang w:val="es-ES" w:eastAsia="zh-CN" w:bidi="hi-IN"/>
              </w:rPr>
            </w:pPr>
            <w:r>
              <w:rPr>
                <w:rFonts w:eastAsia="NSimSun" w:cs="Calibri" w:cstheme="minorHAnsi"/>
                <w:b/>
                <w:color w:val="000000"/>
                <w:kern w:val="2"/>
                <w:sz w:val="24"/>
                <w:szCs w:val="24"/>
                <w:lang w:val="es-ES" w:eastAsia="zh-CN" w:bidi="hi-IN"/>
              </w:rPr>
              <w:t>PLAN DE CONTINGENCIA</w:t>
            </w:r>
          </w:p>
        </w:tc>
      </w:tr>
      <w:tr>
        <w:trPr>
          <w:trHeight w:val="522" w:hRule="atLeast"/>
        </w:trPr>
        <w:tc>
          <w:tcPr>
            <w:tcW w:w="9806" w:type="dxa"/>
            <w:gridSpan w:val="5"/>
            <w:tcBorders>
              <w:left w:val="single" w:sz="4" w:space="0" w:color="000000"/>
              <w:bottom w:val="single" w:sz="4" w:space="0" w:color="000000"/>
              <w:right w:val="single" w:sz="4" w:space="0" w:color="000000"/>
            </w:tcBorders>
            <w:shd w:color="auto" w:fill="auto" w:val="clear"/>
          </w:tcPr>
          <w:p>
            <w:pPr>
              <w:pStyle w:val="Normal"/>
              <w:widowControl w:val="false"/>
              <w:spacing w:before="0" w:after="0"/>
              <w:contextualSpacing/>
              <w:rPr>
                <w:rFonts w:eastAsia="NSimSun" w:cs="Calibri" w:cstheme="minorHAnsi"/>
                <w:b/>
                <w:b/>
                <w:color w:val="000000"/>
                <w:kern w:val="2"/>
                <w:sz w:val="24"/>
                <w:szCs w:val="24"/>
                <w:lang w:eastAsia="zh-CN" w:bidi="hi-IN"/>
              </w:rPr>
            </w:pPr>
            <w:r>
              <w:rPr/>
              <w:t xml:space="preserve"/>
            </w:r>
            <w:r>
              <w:t xml:space="preserve"/>
            </w:r>
            <w:r>
              <w:rPr>
                <w:rFonts w:eastAsia="NSimSun" w:cs="Calibri" w:cstheme="minorHAnsi"/>
                <w:b w:val="false"/>
                <w:bCs w:val="false"/>
                <w:color w:val="000000"/>
                <w:kern w:val="2"/>
                <w:sz w:val="24"/>
                <w:szCs w:val="24"/>
                <w:lang w:eastAsia="zh-CN" w:bidi="hi-IN"/>
              </w:rPr>
              <w:t/>
            </w:r>
          </w:p>
        </w:tc>
      </w:tr>
    </w:tbl>
    <w:p>
      <w:pPr>
        <w:pStyle w:val="TableContents"/>
        <w:spacing w:before="0" w:after="160"/>
        <w:jc w:val="both"/>
        <w:rPr>
          <w:rFonts w:ascii="Serif" w:hAnsi="Serif"/>
        </w:rPr>
      </w:pPr>
      <w:r>
        <w:rPr>
          <w:rFonts w:ascii="Serif" w:hAnsi="Serif"/>
        </w:rPr>
      </w:r>
    </w:p>
    <w:p>
      <w:pPr>
        <w:pStyle w:val="TableContents"/>
        <w:spacing w:before="0" w:after="160"/>
        <w:jc w:val="both"/>
        <w:rPr>
          <w:rFonts w:ascii="Serif" w:hAnsi="Serif"/>
        </w:rPr>
      </w:pPr>
      <w:r>
        <w:rPr>
          <w:rFonts w:eastAsia="Calibri" w:cs="" w:ascii="Serif" w:hAnsi="Serif" w:cstheme="minorBidi" w:eastAsiaTheme="minorHAnsi"/>
          <w:b w:val="false"/>
          <w:bCs w:val="false"/>
          <w:color w:val="00000A"/>
          <w:kern w:val="0"/>
          <w:sz w:val="20"/>
          <w:szCs w:val="20"/>
          <w:lang w:val="es-ES" w:eastAsia="en-US" w:bidi="ar-SA"/>
        </w:rPr>
        <w:t>En None, a 25 de abril de 2024.</w:t>
      </w:r>
    </w:p>
    <w:p>
      <w:pPr>
        <w:pStyle w:val="TableContents"/>
        <w:widowControl/>
        <w:suppressAutoHyphens w:val="true"/>
        <w:bidi w:val="0"/>
        <w:spacing w:lineRule="auto" w:line="312" w:before="0" w:after="160"/>
        <w:ind w:left="-567" w:right="0" w:hanging="0"/>
        <w:jc w:val="right"/>
        <w:rPr>
          <w:rFonts w:ascii="Serif" w:hAnsi="Serif"/>
        </w:rPr>
      </w:pPr>
      <w:r>
        <w:rPr>
          <w:rFonts w:eastAsia="Calibri" w:cs="" w:ascii="Serif" w:hAnsi="Serif" w:cstheme="minorBidi" w:eastAsiaTheme="minorHAnsi"/>
          <w:b w:val="false"/>
          <w:bCs w:val="false"/>
          <w:color w:val="00000A"/>
          <w:kern w:val="0"/>
          <w:sz w:val="20"/>
          <w:szCs w:val="20"/>
          <w:lang w:val="es-ES" w:eastAsia="en-US" w:bidi="ar-SA"/>
        </w:rPr>
        <w:t>Fdo.: Gallar Hernández, David</w:t>
      </w:r>
    </w:p>
    <w:p>
      <w:pPr>
        <w:pStyle w:val="TableContents"/>
        <w:widowControl/>
        <w:suppressAutoHyphens w:val="true"/>
        <w:bidi w:val="0"/>
        <w:spacing w:lineRule="auto" w:line="312" w:before="0" w:after="160"/>
        <w:ind w:left="-567" w:right="0" w:hanging="0"/>
        <w:jc w:val="right"/>
        <w:rPr>
          <w:rFonts w:ascii="Serif" w:hAnsi="Serif"/>
        </w:rPr>
      </w:pPr>
      <w:r>
        <w:rPr>
          <w:rFonts w:ascii="Serif" w:hAnsi="Serif"/>
        </w:rPr>
      </w:r>
    </w:p>
    <w:p>
      <w:pPr>
        <w:pStyle w:val="Normal"/>
        <w:widowControl/>
        <w:suppressAutoHyphens w:val="true"/>
        <w:bidi w:val="0"/>
        <w:spacing w:lineRule="auto" w:line="312" w:before="120" w:after="120"/>
        <w:ind w:left="-567" w:right="0" w:hanging="0"/>
        <w:contextualSpacing/>
        <w:jc w:val="left"/>
        <w:rPr>
          <w:sz w:val="10"/>
          <w:szCs w:val="10"/>
        </w:rPr>
      </w:pPr>
      <w:r>
        <w:rPr>
          <w:rFonts w:ascii="Times New Roman" w:hAnsi="Times New Roman"/>
          <w:sz w:val="10"/>
          <w:szCs w:val="10"/>
        </w:rPr>
        <w:t>            Conforme a lo dispuesto en la legislación vigente en materia de protección de datos de carácter personal(Reglamento(UE) 2016/679, de 27 de abril) le informamos que los datos personales que nos ha facilitado pasarán a ser tratados por la UNIVERSIDAD INTERNACONAL DE ANDALUCÍA como responsable del tratamiento, siendo órgano competente en la materia la Dirección del Área de Gestión Académica(Monasterio Santa María de las Cuevas, C / Américo Vespucio nº2. Isla de La Cartuja - 41092 - Sevilla) ante quien Ud. puede ejercitar sus derechos de acceso, rectificación, limitación, oposición o portabilidad señalando concretamente la causa de su solicitud y acompañando copia de su documento acreditativo de identidad. La solicitud podrá hacerse mediante escrito en formato papel o por medios electrónicos.
</w:t>
        <w:br/>
        <w:t xml:space="preserve">
</w:t>
        <w:br/>
        <w:t xml:space="preserve">            Caso de no obtener contestación o ver desestimada su solicitud puede dirigirse al Delegado de Protección de Datos de la Universidad(rgpd@unia.es Tfno 954 462299) o en reclamación a la Agencia Española de Protección de Datos a través de los formularios que esa entidad tiene habilitados al efecto y que son accesibles desde su página web: https: // sedeagpd.gob.es
</w:t>
        <w:br/>
        <w:t xml:space="preserve">
</w:t>
        <w:br/>
        <w:t xml:space="preserve">            Como responsable, la Universidad le informa que exclusivamente tratará los datos personales que Ud. le facilite para dar cumplimiento a los siguientes fines:
</w:t>
        <w:br/>
        <w:t xml:space="preserve">            a)    Gestión académica y administrativa de:
</w:t>
        <w:br/>
        <w:t xml:space="preserve">                •    Participación en procesos de acceso y admisión a las enseñanzas oficiales(Grado, Máster y Doctorado) o de formación Continua de la Universidad Internacional de Andalucía.
</w:t>
        <w:br/>
        <w:t xml:space="preserve">                •    Inscripción y/o matrícula como alumno en cualquiera de las titulaciones oficiales(Grado, Máster y Doctorado), Formación Continua u otras actividades académicas ofrecidas por la Universidad Internacional de    Andalucía.
</w:t>
        <w:br/>
        <w:t xml:space="preserve">                •    Participación en convocatorias de becas y ayudas al estudio de la Universidad Internacional de Andalucía, la Admón. General del Estado o la de las Comunidades Autónomas y de otras entidades públicas o privadas.
</w:t>
        <w:br/>
        <w:t xml:space="preserve">                •    Participación en convocatorias de programas de movilidad de carácter nacional o internacional.
</w:t>
        <w:br/>
        <w:t xml:space="preserve">                •    Obtención y expedición de títulos oficiales, títulos propios y otros títulos académico
</w:t>
        <w:br/>
        <w:t xml:space="preserve">            b)    Gestión de su participación como estudiante en prácticas y actividades formativas nacionales o internacionales en instituciones, empresas, organismos o en otros centros.
</w:t>
        <w:br/>
        <w:t xml:space="preserve">            c)    Utilización de servicios universitarios como obtención del carné universitario, bibliotecas, actividades deportivas u otros.
</w:t>
        <w:br/>
        <w:t xml:space="preserve">
</w:t>
        <w:br/>
        <w:t xml:space="preserve">            La Universidad se encuentra legitimada para tratar estos datos al ser necesarios para la ejecución de la relación jurídica establecida entre Ud. y la Universidad y para que ésta pueda cumplir con sus obligaciones legales establecidas en la Ley Orgánica 6/2001, de Universidades.
</w:t>
        <w:br/>
        <w:t xml:space="preserve">            Usted responde de la veracidad de los datos personales que ha proporcionado a la Universidad y de su actualización.
</w:t>
        <w:br/>
        <w:t xml:space="preserve">            La Universidad comunicará los datos personales que sean indispensables, y nunca en otro caso, a las siguientes categorías de destinatarios:
</w:t>
        <w:br/>
        <w:t xml:space="preserve">                •    A otras Administraciones y organismos públicos para el ejercicio de las competencias que les sean propias y compatibles con las finalidades arriba enunciadas(Así - a modo enunciativo y no limitativo - a Ministerios con competencias en educación y ciencia, a otras administraciones, a otras Universidades o Centros formativos equivalentes para la gestión de traslados, a empresas para la realización de prácticas)
</w:t>
        <w:br/>
        <w:t xml:space="preserve">                •    A entidades bancarias para la gestión de pagos y cobros.
</w:t>
        <w:br/>
        <w:t xml:space="preserve">                •    A organismos públicos o privados en virtud de la celebración de convenios de colaboración o contratos, conforme a lo dispuesto en la legislación vigente en materia de Protección de Datos.
</w:t>
        <w:br/>
        <w:t xml:space="preserve">                •    A los servicios de la propia Universidad que sean adecuados para gestionar la utilización de los servicios universitarios ofertados.
</w:t>
        <w:br/>
        <w:t xml:space="preserve">            Sus datos de carácter personal se tratarán y conservarán por la Universidad conforme a la legislación vigente en materia de protección de datos, pasando luego a formar parte –previo expurgo - del Archivo Histórico Universitario conforme a lo dispuesto en la legislación sobre Patrimonio Histórico.
</w:t>
        <w:br/>
        <w:t xml:space="preserve">
</w:t>
        <w:br/>
        <w:t xml:space="preserve">            La Universidad sólo prevé la transferencia de datos a terceros países en el caso de su participación como alumno en alguno de los programas de formación o becas de carácter internacional. La transferencia se realizará siguiendo las directrices establecidas al respecto por el Reglamento Europeo de Protección de Datos y normativa de desarrollo.
</w:t>
        <w:br/>
        <w:t xml:space="preserve">            El Servicio de Protección de Datos de la Universidad Internacional de Andalucía cuenta con una página en la que incluye legislación, información y modelos en relación con la Protección de Datos Personales a la que puede acceder desde el siguiente enlace:  https://www.unia.es/protecciondatos</w:t>
      </w:r>
    </w:p>
    <w:sectPr>
      <w:headerReference w:type="default" r:id="rId6"/>
      <w:footerReference w:type="default" r:id="rId7"/>
      <w:type w:val="nextPage"/>
      <w:pgSz w:w="11906" w:h="16838"/>
      <w:pgMar w:left="1701" w:right="1701" w:header="567" w:top="1418" w:footer="709" w:bottom="1418"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Cambria">
    <w:charset w:val="01"/>
    <w:family w:val="roman"/>
    <w:pitch w:val="variable"/>
  </w:font>
  <w:font w:name="Segoe UI">
    <w:charset w:val="01"/>
    <w:family w:val="roman"/>
    <w:pitch w:val="variable"/>
  </w:font>
  <w:font w:name="Liberation Mono">
    <w:altName w:val="Courier New"/>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Serif">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18311391"/>
    </w:sdtPr>
    <w:sdtContent>
      <w:p>
        <w:pPr>
          <w:pStyle w:val="Footer"/>
          <w:jc w:val="center"/>
          <w:rPr>
            <w:sz w:val="18"/>
            <w:szCs w:val="18"/>
          </w:rPr>
        </w:pPr>
        <w:r>
          <w:rPr>
            <w:sz w:val="18"/>
            <w:szCs w:val="18"/>
          </w:rPr>
          <w:fldChar w:fldCharType="begin"/>
        </w:r>
        <w:r>
          <w:rPr>
            <w:sz w:val="18"/>
            <w:szCs w:val="18"/>
          </w:rPr>
          <w:instrText> PAGE </w:instrText>
        </w:r>
        <w:r>
          <w:rPr>
            <w:sz w:val="18"/>
            <w:szCs w:val="18"/>
          </w:rPr>
          <w:fldChar w:fldCharType="separate"/>
        </w:r>
        <w:r>
          <w:rPr>
            <w:sz w:val="18"/>
            <w:szCs w:val="18"/>
          </w:rPr>
          <w:t>2</w:t>
        </w:r>
        <w:r>
          <w:rPr>
            <w:sz w:val="18"/>
            <w:szCs w:val="18"/>
          </w:rPr>
          <w:fldChar w:fldCharType="end"/>
        </w:r>
      </w:p>
    </w:sdtContent>
  </w:sdt>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83614652"/>
    </w:sdtPr>
    <w:sdtContent>
      <w:p>
        <w:pPr>
          <w:pStyle w:val="Footer"/>
          <w:jc w:val="center"/>
          <w:rPr>
            <w:sz w:val="18"/>
            <w:szCs w:val="18"/>
          </w:rPr>
        </w:pPr>
        <w:r>
          <w:rPr>
            <w:sz w:val="18"/>
            <w:szCs w:val="18"/>
          </w:rPr>
          <w:fldChar w:fldCharType="begin"/>
        </w:r>
        <w:r>
          <w:rPr>
            <w:sz w:val="18"/>
            <w:szCs w:val="18"/>
          </w:rPr>
          <w:instrText> PAGE </w:instrText>
        </w:r>
        <w:r>
          <w:rPr>
            <w:sz w:val="18"/>
            <w:szCs w:val="18"/>
          </w:rPr>
          <w:fldChar w:fldCharType="separate"/>
        </w:r>
        <w:r>
          <w:rPr>
            <w:sz w:val="18"/>
            <w:szCs w:val="18"/>
          </w:rPr>
          <w:t>5</w:t>
        </w:r>
        <w:r>
          <w:rPr>
            <w:sz w:val="18"/>
            <w:szCs w:val="18"/>
          </w:rPr>
          <w:fldChar w:fldCharType="end"/>
        </w:r>
      </w:p>
    </w:sdtContent>
  </w:sdt>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9808" w:type="dxa"/>
      <w:jc w:val="left"/>
      <w:tblInd w:w="-520" w:type="dxa"/>
      <w:tblCellMar>
        <w:top w:w="0" w:type="dxa"/>
        <w:left w:w="108" w:type="dxa"/>
        <w:bottom w:w="0" w:type="dxa"/>
        <w:right w:w="108" w:type="dxa"/>
      </w:tblCellMar>
      <w:tblLook w:val="0000" w:noHBand="0" w:noVBand="0" w:firstColumn="0" w:lastRow="0" w:lastColumn="0" w:firstRow="0"/>
    </w:tblPr>
    <w:tblGrid>
      <w:gridCol w:w="4419"/>
      <w:gridCol w:w="5388"/>
    </w:tblGrid>
    <w:tr>
      <w:trPr/>
      <w:tc>
        <w:tcPr>
          <w:tcW w:w="4419" w:type="dxa"/>
          <w:tcBorders/>
          <w:shd w:color="auto" w:fill="auto" w:val="clear"/>
          <w:vAlign w:val="center"/>
        </w:tcPr>
        <w:p>
          <w:pPr>
            <w:pStyle w:val="Normal"/>
            <w:widowControl w:val="false"/>
            <w:suppressLineNumbers/>
            <w:tabs>
              <w:tab w:val="clear" w:pos="708"/>
              <w:tab w:val="center" w:pos="4819" w:leader="none"/>
              <w:tab w:val="right" w:pos="9638" w:leader="none"/>
            </w:tabs>
            <w:suppressAutoHyphens w:val="true"/>
            <w:spacing w:lineRule="auto" w:line="240" w:before="0" w:after="0"/>
            <w:textAlignment w:val="baseline"/>
            <w:rPr>
              <w:rFonts w:ascii="Times New Roman" w:hAnsi="Times New Roman" w:eastAsia="Times New Roman" w:cs="Times New Roman"/>
              <w:kern w:val="2"/>
              <w:sz w:val="20"/>
              <w:szCs w:val="20"/>
              <w:lang w:eastAsia="zh-CN"/>
            </w:rPr>
          </w:pPr>
          <w:r>
            <w:rPr>
              <w:rFonts w:eastAsia="Times New Roman" w:cs="Times New Roman" w:ascii="Times New Roman" w:hAnsi="Times New Roman"/>
              <w:kern w:val="2"/>
              <w:sz w:val="20"/>
              <w:szCs w:val="20"/>
              <w:lang w:eastAsia="zh-CN"/>
            </w:rPr>
            <w:drawing>
              <wp:anchor behindDoc="1" distT="0" distB="0" distL="0" distR="0" simplePos="0" locked="0" layoutInCell="1" allowOverlap="1" relativeHeight="4">
                <wp:simplePos x="0" y="0"/>
                <wp:positionH relativeFrom="column">
                  <wp:align>center</wp:align>
                </wp:positionH>
                <wp:positionV relativeFrom="paragraph">
                  <wp:posOffset>635</wp:posOffset>
                </wp:positionV>
                <wp:extent cx="2139950" cy="70866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1"/>
                        <a:stretch>
                          <a:fillRect/>
                        </a:stretch>
                      </pic:blipFill>
                      <pic:spPr bwMode="auto">
                        <a:xfrm>
                          <a:off x="0" y="0"/>
                          <a:ext cx="2139950" cy="708660"/>
                        </a:xfrm>
                        <a:prstGeom prst="rect">
                          <a:avLst/>
                        </a:prstGeom>
                      </pic:spPr>
                    </pic:pic>
                  </a:graphicData>
                </a:graphic>
              </wp:anchor>
            </w:drawing>
          </w:r>
        </w:p>
      </w:tc>
      <w:tc>
        <w:tcPr>
          <w:tcW w:w="5388" w:type="dxa"/>
          <w:tcBorders/>
          <w:shd w:color="auto" w:fill="auto" w:val="clear"/>
          <w:vAlign w:val="center"/>
        </w:tcPr>
        <w:p>
          <w:pPr>
            <w:pStyle w:val="Normal"/>
            <w:widowControl w:val="false"/>
            <w:spacing w:before="480" w:after="160"/>
            <w:jc w:val="right"/>
            <w:rPr>
              <w:sz w:val="28"/>
              <w:szCs w:val="28"/>
            </w:rPr>
          </w:pPr>
          <w:r>
            <w:rPr>
              <w:rFonts w:eastAsia="NSimSun" w:cs="Calibri" w:cstheme="minorHAnsi"/>
              <w:b/>
              <w:color w:val="000000"/>
              <w:kern w:val="2"/>
              <w:sz w:val="28"/>
              <w:szCs w:val="28"/>
              <w:lang w:bidi="hi-IN"/>
            </w:rPr>
            <w:t xml:space="preserve">  </w:t>
          </w:r>
          <w:r>
            <w:rPr>
              <w:rFonts w:eastAsia="NSimSun" w:cs="Calibri" w:cstheme="minorHAnsi"/>
              <w:b/>
              <w:color w:val="000000"/>
              <w:kern w:val="2"/>
              <w:sz w:val="28"/>
              <w:szCs w:val="28"/>
              <w:lang w:bidi="hi-IN"/>
            </w:rPr>
            <w:t>GUÍA DOCENTE</w:t>
          </w:r>
        </w:p>
      </w:tc>
    </w:tr>
  </w:tbl>
  <w:p>
    <w:pPr>
      <w:pStyle w:val="Header"/>
      <w:rPr>
        <w:rFonts w:eastAsia="NSimSun" w:cs="Calibri" w:cstheme="minorHAnsi"/>
        <w:b/>
        <w:b/>
        <w:color w:val="000000"/>
        <w:kern w:val="2"/>
        <w:sz w:val="28"/>
        <w:szCs w:val="28"/>
        <w:lang w:bidi="hi-IN"/>
      </w:rPr>
    </w:pPr>
    <w:r>
      <w:rPr>
        <w:rFonts w:eastAsia="NSimSun" w:cs="Calibri" w:cstheme="minorHAnsi"/>
        <w:b/>
        <w:color w:val="000000"/>
        <w:kern w:val="2"/>
        <w:sz w:val="28"/>
        <w:szCs w:val="28"/>
        <w:lang w:bidi="hi-IN"/>
      </w:rPr>
    </w:r>
  </w:p>
</w:hdr>
</file>

<file path=word/settings.xml><?xml version="1.0" encoding="utf-8"?>
<w:settings xmlns:w="http://schemas.openxmlformats.org/wordprocessingml/2006/main">
  <w:zoom w:percent="12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hyphenationZone w:val="425"/>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s-E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uiPriority="0"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1b6d50"/>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s-ES" w:eastAsia="en-US" w:bidi="ar-SA"/>
    </w:rPr>
  </w:style>
  <w:style w:type="paragraph" w:styleId="Heading1">
    <w:name w:val="Heading 1"/>
    <w:basedOn w:val="Normal"/>
    <w:next w:val="Normal"/>
    <w:link w:val="Ttulo1Car"/>
    <w:qFormat/>
    <w:rsid w:val="00a938e0"/>
    <w:pPr>
      <w:keepNext w:val="true"/>
      <w:suppressAutoHyphens w:val="true"/>
      <w:spacing w:lineRule="auto" w:line="240" w:before="0" w:after="0"/>
      <w:jc w:val="center"/>
      <w:textAlignment w:val="baseline"/>
      <w:outlineLvl w:val="0"/>
    </w:pPr>
    <w:rPr>
      <w:rFonts w:ascii="Times New Roman" w:hAnsi="Times New Roman" w:eastAsia="Times New Roman" w:cs="Times New Roman"/>
      <w:b/>
      <w:kern w:val="2"/>
      <w:sz w:val="20"/>
      <w:szCs w:val="20"/>
      <w:lang w:eastAsia="zh-CN"/>
    </w:rPr>
  </w:style>
  <w:style w:type="paragraph" w:styleId="Heading2">
    <w:name w:val="Heading 2"/>
    <w:basedOn w:val="Normal"/>
    <w:next w:val="Normal"/>
    <w:link w:val="Ttulo2Car"/>
    <w:qFormat/>
    <w:rsid w:val="00a938e0"/>
    <w:pPr>
      <w:keepNext w:val="true"/>
      <w:suppressAutoHyphens w:val="true"/>
      <w:spacing w:lineRule="auto" w:line="240" w:before="240" w:after="60"/>
      <w:textAlignment w:val="baseline"/>
      <w:outlineLvl w:val="1"/>
    </w:pPr>
    <w:rPr>
      <w:rFonts w:ascii="Cambria" w:hAnsi="Cambria" w:eastAsia="Times New Roman" w:cs="Times New Roman"/>
      <w:b/>
      <w:bCs/>
      <w:i/>
      <w:iCs/>
      <w:kern w:val="2"/>
      <w:sz w:val="28"/>
      <w:szCs w:val="28"/>
      <w:lang w:eastAsia="zh-CN"/>
    </w:rPr>
  </w:style>
  <w:style w:type="paragraph" w:styleId="Heading3">
    <w:name w:val="Heading 3"/>
    <w:basedOn w:val="Normal"/>
    <w:next w:val="Normal"/>
    <w:link w:val="Ttulo3Car"/>
    <w:qFormat/>
    <w:rsid w:val="00a938e0"/>
    <w:pPr>
      <w:keepNext w:val="true"/>
      <w:suppressAutoHyphens w:val="true"/>
      <w:spacing w:lineRule="auto" w:line="240" w:before="240" w:after="60"/>
      <w:textAlignment w:val="baseline"/>
      <w:outlineLvl w:val="2"/>
    </w:pPr>
    <w:rPr>
      <w:rFonts w:ascii="Cambria" w:hAnsi="Cambria" w:eastAsia="Times New Roman" w:cs="Times New Roman"/>
      <w:b/>
      <w:bCs/>
      <w:kern w:val="2"/>
      <w:sz w:val="26"/>
      <w:szCs w:val="26"/>
      <w:lang w:eastAsia="zh-CN"/>
    </w:rPr>
  </w:style>
  <w:style w:type="paragraph" w:styleId="Heading4">
    <w:name w:val="Heading 4"/>
    <w:basedOn w:val="Normal"/>
    <w:next w:val="Normal"/>
    <w:link w:val="Ttulo4Car"/>
    <w:qFormat/>
    <w:rsid w:val="00a938e0"/>
    <w:pPr>
      <w:keepNext w:val="true"/>
      <w:suppressAutoHyphens w:val="true"/>
      <w:spacing w:lineRule="auto" w:line="240" w:before="0" w:after="0"/>
      <w:textAlignment w:val="baseline"/>
      <w:outlineLvl w:val="3"/>
    </w:pPr>
    <w:rPr>
      <w:rFonts w:ascii="Times New Roman" w:hAnsi="Times New Roman" w:eastAsia="Times New Roman" w:cs="Times New Roman"/>
      <w:b/>
      <w:kern w:val="2"/>
      <w:szCs w:val="20"/>
      <w:lang w:eastAsia="zh-CN"/>
    </w:rPr>
  </w:style>
  <w:style w:type="paragraph" w:styleId="Heading5">
    <w:name w:val="Heading 5"/>
    <w:basedOn w:val="Normal"/>
    <w:next w:val="Normal"/>
    <w:link w:val="Ttulo5Car"/>
    <w:qFormat/>
    <w:rsid w:val="00a938e0"/>
    <w:pPr>
      <w:keepNext w:val="true"/>
      <w:suppressAutoHyphens w:val="true"/>
      <w:spacing w:lineRule="auto" w:line="240" w:before="0" w:after="0"/>
      <w:jc w:val="both"/>
      <w:textAlignment w:val="baseline"/>
      <w:outlineLvl w:val="4"/>
    </w:pPr>
    <w:rPr>
      <w:rFonts w:ascii="Times New Roman" w:hAnsi="Times New Roman" w:eastAsia="Times New Roman" w:cs="Times New Roman"/>
      <w:b/>
      <w:kern w:val="2"/>
      <w:sz w:val="20"/>
      <w:szCs w:val="20"/>
      <w:lang w:eastAsia="zh-CN"/>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uiPriority w:val="99"/>
    <w:qFormat/>
    <w:rsid w:val="00a938e0"/>
    <w:rPr/>
  </w:style>
  <w:style w:type="character" w:styleId="PiedepginaCar" w:customStyle="1">
    <w:name w:val="Pie de página Car"/>
    <w:basedOn w:val="DefaultParagraphFont"/>
    <w:uiPriority w:val="99"/>
    <w:qFormat/>
    <w:rsid w:val="00a938e0"/>
    <w:rPr/>
  </w:style>
  <w:style w:type="character" w:styleId="Ttulo1Car" w:customStyle="1">
    <w:name w:val="Título 1 Car"/>
    <w:basedOn w:val="DefaultParagraphFont"/>
    <w:qFormat/>
    <w:rsid w:val="00a938e0"/>
    <w:rPr>
      <w:rFonts w:ascii="Times New Roman" w:hAnsi="Times New Roman" w:eastAsia="Times New Roman" w:cs="Times New Roman"/>
      <w:b/>
      <w:kern w:val="2"/>
      <w:sz w:val="20"/>
      <w:szCs w:val="20"/>
      <w:lang w:eastAsia="zh-CN"/>
    </w:rPr>
  </w:style>
  <w:style w:type="character" w:styleId="Ttulo2Car" w:customStyle="1">
    <w:name w:val="Título 2 Car"/>
    <w:basedOn w:val="DefaultParagraphFont"/>
    <w:qFormat/>
    <w:rsid w:val="00a938e0"/>
    <w:rPr>
      <w:rFonts w:ascii="Cambria" w:hAnsi="Cambria" w:eastAsia="Times New Roman" w:cs="Times New Roman"/>
      <w:b/>
      <w:bCs/>
      <w:i/>
      <w:iCs/>
      <w:kern w:val="2"/>
      <w:sz w:val="28"/>
      <w:szCs w:val="28"/>
      <w:lang w:eastAsia="zh-CN"/>
    </w:rPr>
  </w:style>
  <w:style w:type="character" w:styleId="Ttulo3Car" w:customStyle="1">
    <w:name w:val="Título 3 Car"/>
    <w:basedOn w:val="DefaultParagraphFont"/>
    <w:qFormat/>
    <w:rsid w:val="00a938e0"/>
    <w:rPr>
      <w:rFonts w:ascii="Cambria" w:hAnsi="Cambria" w:eastAsia="Times New Roman" w:cs="Times New Roman"/>
      <w:b/>
      <w:bCs/>
      <w:kern w:val="2"/>
      <w:sz w:val="26"/>
      <w:szCs w:val="26"/>
      <w:lang w:eastAsia="zh-CN"/>
    </w:rPr>
  </w:style>
  <w:style w:type="character" w:styleId="Ttulo4Car" w:customStyle="1">
    <w:name w:val="Título 4 Car"/>
    <w:basedOn w:val="DefaultParagraphFont"/>
    <w:qFormat/>
    <w:rsid w:val="00a938e0"/>
    <w:rPr>
      <w:rFonts w:ascii="Times New Roman" w:hAnsi="Times New Roman" w:eastAsia="Times New Roman" w:cs="Times New Roman"/>
      <w:b/>
      <w:kern w:val="2"/>
      <w:szCs w:val="20"/>
      <w:lang w:eastAsia="zh-CN"/>
    </w:rPr>
  </w:style>
  <w:style w:type="character" w:styleId="Ttulo5Car" w:customStyle="1">
    <w:name w:val="Título 5 Car"/>
    <w:basedOn w:val="DefaultParagraphFont"/>
    <w:qFormat/>
    <w:rsid w:val="00a938e0"/>
    <w:rPr>
      <w:rFonts w:ascii="Times New Roman" w:hAnsi="Times New Roman" w:eastAsia="Times New Roman" w:cs="Times New Roman"/>
      <w:b/>
      <w:kern w:val="2"/>
      <w:sz w:val="20"/>
      <w:szCs w:val="20"/>
      <w:lang w:eastAsia="zh-CN"/>
    </w:rPr>
  </w:style>
  <w:style w:type="character" w:styleId="TextodegloboCar" w:customStyle="1">
    <w:name w:val="Texto de globo Car"/>
    <w:basedOn w:val="DefaultParagraphFont"/>
    <w:uiPriority w:val="99"/>
    <w:semiHidden/>
    <w:qFormat/>
    <w:rsid w:val="00bf3531"/>
    <w:rPr>
      <w:rFonts w:ascii="Segoe UI" w:hAnsi="Segoe UI" w:cs="Segoe UI"/>
      <w:sz w:val="18"/>
      <w:szCs w:val="18"/>
    </w:rPr>
  </w:style>
  <w:style w:type="character" w:styleId="InternetLink">
    <w:name w:val="Hyperlink"/>
    <w:basedOn w:val="DefaultParagraphFont"/>
    <w:uiPriority w:val="99"/>
    <w:unhideWhenUsed/>
    <w:rsid w:val="00ab01e2"/>
    <w:rPr>
      <w:color w:val="0563C1" w:themeColor="hyperlink"/>
      <w:u w:val="single"/>
    </w:rPr>
  </w:style>
  <w:style w:type="character" w:styleId="Annotationreference">
    <w:name w:val="annotation reference"/>
    <w:basedOn w:val="DefaultParagraphFont"/>
    <w:uiPriority w:val="99"/>
    <w:semiHidden/>
    <w:unhideWhenUsed/>
    <w:qFormat/>
    <w:rsid w:val="004c72f0"/>
    <w:rPr>
      <w:sz w:val="16"/>
      <w:szCs w:val="16"/>
    </w:rPr>
  </w:style>
  <w:style w:type="character" w:styleId="TextocomentarioCar" w:customStyle="1">
    <w:name w:val="Texto comentario Car"/>
    <w:basedOn w:val="DefaultParagraphFont"/>
    <w:uiPriority w:val="99"/>
    <w:semiHidden/>
    <w:qFormat/>
    <w:rsid w:val="004c72f0"/>
    <w:rPr>
      <w:sz w:val="20"/>
      <w:szCs w:val="20"/>
    </w:rPr>
  </w:style>
  <w:style w:type="character" w:styleId="AsuntodelcomentarioCar" w:customStyle="1">
    <w:name w:val="Asunto del comentario Car"/>
    <w:basedOn w:val="TextocomentarioCar"/>
    <w:uiPriority w:val="99"/>
    <w:semiHidden/>
    <w:qFormat/>
    <w:rsid w:val="004c72f0"/>
    <w:rPr>
      <w:b/>
      <w:bCs/>
      <w:sz w:val="20"/>
      <w:szCs w:val="20"/>
    </w:rPr>
  </w:style>
  <w:style w:type="character" w:styleId="TextonotapieCar" w:customStyle="1">
    <w:name w:val="Texto nota pie Car"/>
    <w:basedOn w:val="DefaultParagraphFont"/>
    <w:uiPriority w:val="99"/>
    <w:semiHidden/>
    <w:qFormat/>
    <w:rsid w:val="00b358be"/>
    <w:rPr>
      <w:sz w:val="20"/>
      <w:szCs w:val="20"/>
    </w:rPr>
  </w:style>
  <w:style w:type="character" w:styleId="FootnoteCharacters">
    <w:name w:val="Footnote Characters"/>
    <w:basedOn w:val="DefaultParagraphFont"/>
    <w:uiPriority w:val="99"/>
    <w:semiHidden/>
    <w:unhideWhenUsed/>
    <w:qFormat/>
    <w:rsid w:val="00b358be"/>
    <w:rPr>
      <w:vertAlign w:val="superscript"/>
    </w:rPr>
  </w:style>
  <w:style w:type="character" w:styleId="FootnoteAnchor">
    <w:name w:val="Footnote Anchor"/>
    <w:qFormat/>
    <w:rPr>
      <w:vertAlign w:val="superscript"/>
    </w:rPr>
  </w:style>
  <w:style w:type="character" w:styleId="VisitedInternetLink">
    <w:name w:val="FollowedHyperlink"/>
    <w:basedOn w:val="DefaultParagraphFont"/>
    <w:uiPriority w:val="99"/>
    <w:semiHidden/>
    <w:unhideWhenUsed/>
    <w:rsid w:val="00996024"/>
    <w:rPr>
      <w:color w:val="954F72" w:themeColor="followedHyperlink"/>
      <w:u w:val="single"/>
    </w:rPr>
  </w:style>
  <w:style w:type="character" w:styleId="EndnoteAnchor">
    <w:name w:val="Endnote Anchor"/>
    <w:qFormat/>
    <w:rPr>
      <w:vertAlign w:val="superscript"/>
    </w:rPr>
  </w:style>
  <w:style w:type="character" w:styleId="EndnoteCharacters">
    <w:name w:val="Endnote Characters"/>
    <w:qFormat/>
    <w:rPr/>
  </w:style>
  <w:style w:type="character" w:styleId="Ninguno">
    <w:name w:val="Ninguno"/>
    <w:qFormat/>
    <w:rPr>
      <w:lang w:val="en-US"/>
    </w:rPr>
  </w:style>
  <w:style w:type="character" w:styleId="Textooriginal">
    <w:name w:val="Texto original"/>
    <w:qFormat/>
    <w:rPr>
      <w:rFonts w:ascii="Liberation Mono" w:hAnsi="Liberation Mono" w:eastAsia="Liberation Mono" w:cs="Liberation Mono"/>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Lohit Devanagari"/>
    </w:rPr>
  </w:style>
  <w:style w:type="paragraph" w:styleId="Ttulo">
    <w:name w:val="Título"/>
    <w:basedOn w:val="Normal"/>
    <w:next w:val="TextBody"/>
    <w:qFormat/>
    <w:pPr>
      <w:keepNext w:val="true"/>
      <w:spacing w:before="240" w:after="120"/>
    </w:pPr>
    <w:rPr>
      <w:rFonts w:ascii="Liberation Sans" w:hAnsi="Liberation Sans" w:eastAsia="Noto Sans CJK SC" w:cs="Noto Sans Devanagari"/>
      <w:sz w:val="28"/>
      <w:szCs w:val="28"/>
    </w:rPr>
  </w:style>
  <w:style w:type="paragraph" w:styleId="Ndice">
    <w:name w:val="Índice"/>
    <w:basedOn w:val="Normal"/>
    <w:qFormat/>
    <w:pPr>
      <w:suppressLineNumbers/>
    </w:pPr>
    <w:rPr>
      <w:rFonts w:cs="Noto Sans Devanagari"/>
    </w:rPr>
  </w:style>
  <w:style w:type="paragraph" w:styleId="Cabeceraypie">
    <w:name w:val="Cabecera y pie"/>
    <w:basedOn w:val="Normal"/>
    <w:qFormat/>
    <w:pPr/>
    <w:rPr/>
  </w:style>
  <w:style w:type="paragraph" w:styleId="HeaderandFooter">
    <w:name w:val="Header and Footer"/>
    <w:basedOn w:val="Normal"/>
    <w:qFormat/>
    <w:pPr/>
    <w:rPr/>
  </w:style>
  <w:style w:type="paragraph" w:styleId="Header">
    <w:name w:val="Header"/>
    <w:basedOn w:val="Normal"/>
    <w:link w:val="EncabezadoCar"/>
    <w:uiPriority w:val="99"/>
    <w:unhideWhenUsed/>
    <w:rsid w:val="00a938e0"/>
    <w:pPr>
      <w:tabs>
        <w:tab w:val="clear" w:pos="708"/>
        <w:tab w:val="center" w:pos="4252" w:leader="none"/>
        <w:tab w:val="right" w:pos="8504" w:leader="none"/>
      </w:tabs>
      <w:spacing w:lineRule="auto" w:line="240" w:before="0" w:after="0"/>
    </w:pPr>
    <w:rPr/>
  </w:style>
  <w:style w:type="paragraph" w:styleId="Footer">
    <w:name w:val="Footer"/>
    <w:basedOn w:val="Normal"/>
    <w:link w:val="PiedepginaCar"/>
    <w:uiPriority w:val="99"/>
    <w:unhideWhenUsed/>
    <w:rsid w:val="00a938e0"/>
    <w:pPr>
      <w:tabs>
        <w:tab w:val="clear" w:pos="708"/>
        <w:tab w:val="center" w:pos="4252" w:leader="none"/>
        <w:tab w:val="right" w:pos="8504" w:leader="none"/>
      </w:tabs>
      <w:spacing w:lineRule="auto" w:line="240" w:before="0" w:after="0"/>
    </w:pPr>
    <w:rPr/>
  </w:style>
  <w:style w:type="paragraph" w:styleId="ListParagraph">
    <w:name w:val="List Paragraph"/>
    <w:basedOn w:val="Normal"/>
    <w:uiPriority w:val="34"/>
    <w:qFormat/>
    <w:rsid w:val="00bf3531"/>
    <w:pPr>
      <w:spacing w:before="0" w:after="160"/>
      <w:ind w:left="720" w:hanging="0"/>
      <w:contextualSpacing/>
    </w:pPr>
    <w:rPr/>
  </w:style>
  <w:style w:type="paragraph" w:styleId="BalloonText">
    <w:name w:val="Balloon Text"/>
    <w:basedOn w:val="Normal"/>
    <w:link w:val="TextodegloboCar"/>
    <w:uiPriority w:val="99"/>
    <w:semiHidden/>
    <w:unhideWhenUsed/>
    <w:qFormat/>
    <w:rsid w:val="00bf3531"/>
    <w:pPr>
      <w:spacing w:lineRule="auto" w:line="240" w:before="0" w:after="0"/>
    </w:pPr>
    <w:rPr>
      <w:rFonts w:ascii="Segoe UI" w:hAnsi="Segoe UI" w:cs="Segoe UI"/>
      <w:sz w:val="18"/>
      <w:szCs w:val="18"/>
    </w:rPr>
  </w:style>
  <w:style w:type="paragraph" w:styleId="Annotationtext">
    <w:name w:val="annotation text"/>
    <w:basedOn w:val="Normal"/>
    <w:link w:val="TextocomentarioCar"/>
    <w:uiPriority w:val="99"/>
    <w:semiHidden/>
    <w:unhideWhenUsed/>
    <w:qFormat/>
    <w:rsid w:val="004c72f0"/>
    <w:pPr>
      <w:spacing w:lineRule="auto" w:line="240"/>
    </w:pPr>
    <w:rPr>
      <w:sz w:val="20"/>
      <w:szCs w:val="20"/>
    </w:rPr>
  </w:style>
  <w:style w:type="paragraph" w:styleId="Annotationsubject">
    <w:name w:val="annotation subject"/>
    <w:basedOn w:val="Annotationtext"/>
    <w:next w:val="Annotationtext"/>
    <w:link w:val="AsuntodelcomentarioCar"/>
    <w:uiPriority w:val="99"/>
    <w:semiHidden/>
    <w:unhideWhenUsed/>
    <w:qFormat/>
    <w:rsid w:val="004c72f0"/>
    <w:pPr/>
    <w:rPr>
      <w:b/>
      <w:bCs/>
    </w:rPr>
  </w:style>
  <w:style w:type="paragraph" w:styleId="Footnote">
    <w:name w:val="Footnote Text"/>
    <w:basedOn w:val="Normal"/>
    <w:link w:val="TextonotapieCar"/>
    <w:uiPriority w:val="99"/>
    <w:semiHidden/>
    <w:unhideWhenUsed/>
    <w:rsid w:val="00b358be"/>
    <w:pPr>
      <w:spacing w:lineRule="auto" w:line="240" w:before="0" w:after="0"/>
    </w:pPr>
    <w:rPr>
      <w:sz w:val="20"/>
      <w:szCs w:val="20"/>
    </w:rPr>
  </w:style>
  <w:style w:type="paragraph" w:styleId="Contenidodelatabla">
    <w:name w:val="Contenido de la tabla"/>
    <w:basedOn w:val="Normal"/>
    <w:qFormat/>
    <w:pPr>
      <w:suppressLineNumbers/>
    </w:pPr>
    <w:rPr/>
  </w:style>
  <w:style w:type="paragraph" w:styleId="Ttulodelatabla">
    <w:name w:val="Título de la tabla"/>
    <w:basedOn w:val="Contenidodelatabla"/>
    <w:qFormat/>
    <w:pPr>
      <w:suppressLineNumbers/>
      <w:jc w:val="center"/>
    </w:pPr>
    <w:rPr>
      <w:b/>
      <w:bCs/>
    </w:rPr>
  </w:style>
  <w:style w:type="paragraph" w:styleId="Textopreformateado">
    <w:name w:val="Texto preformateado"/>
    <w:basedOn w:val="Normal"/>
    <w:qFormat/>
    <w:pPr>
      <w:spacing w:before="0" w:after="0"/>
    </w:pPr>
    <w:rPr>
      <w:rFonts w:ascii="Liberation Mono" w:hAnsi="Liberation Mono" w:eastAsia="Liberation Mono" w:cs="Liberation Mono"/>
      <w:sz w:val="20"/>
      <w:szCs w:val="20"/>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39"/>
    <w:rsid w:val="0032206e"/>
    <w:pPr>
      <w:spacing w:after="0" w:line="240" w:lineRule="auto"/>
    </w:pPr>
    <w:rPr>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google.es/" TargetMode="External"/><Relationship Id="rId3" Type="http://schemas.openxmlformats.org/officeDocument/2006/relationships/image" Target="media/image1.png"/><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header" Target="header2.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hyperlink" Target="https://www.unia.es/estudios-y-acceso/oferta-academica/masteres-oficiales/master-oficial-en-agroecologia-un-enfoque-para-la-sustentabilidad-rural-2" TargetMode="External"/><Relationship Id="rId12" Type="http://schemas.openxmlformats.org/officeDocument/2006/relationships/hyperlink" Target="https://www.uco.es/estudios/idep/agroecologia / https://www.upo.es/postgrado/Master-Oficial-Agroecologia-Un-Enfoque-de-Transformacion-Sustentable-de-los-Sistemas-Agroalimentario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4109</TotalTime>
  <Application>LibreOffice/6.4.7.2$Linux_X86_64 LibreOffice_project/40$Build-2</Application>
  <Pages>5</Pages>
  <Words>431</Words>
  <Characters>3887</Characters>
  <CharactersWithSpaces>4203</CharactersWithSpaces>
  <Paragraphs>118</Paragraphs>
  <Company>Universidad Internacional de Andalucía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2020-06-24T06:47:00Z</dcterms:created>
  <dc:creator>A.DeArriba</dc:creator>
  <dc:description/>
  <dc:language>es-ES</dc:language>
  <cp:lastModifiedBy/>
  <cp:lastPrinted>2019-03-29T12:33:00Z</cp:lastPrinted>
  <dcterms:modified xsi:type="dcterms:W3CDTF">2025-01-17T10:45:17Z</dcterms:modified>
  <cp:revision>242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Universidad Internacional de Andalucía</vt:lpwstr>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