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Calibri" w:hAnsi="Calibri" w:cs="Calibri"/>
          <w:sz w:val="48"/>
          <w:szCs w:val="48"/>
        </w:rPr>
      </w:pPr>
      <w:r>
        <w:rPr>
          <w:rFonts w:cs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 w:ascii="Calibri" w:hAnsi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 w:ascii="Calibri" w:hAnsi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hyperlink r:id="rId2">
        <w:r>
          <w:rPr>
            <w:rFonts w:eastAsia="Times New Roman" w:cs="Calibri" w:ascii="Calibri" w:hAnsi="Calibri" w:asciiTheme="minorHAnsi" w:hAnsiTheme="minorHAnsi"/>
            <w:b/>
            <w:color w:val="auto"/>
            <w:kern w:val="2"/>
            <w:sz w:val="48"/>
            <w:szCs w:val="48"/>
            <w:lang w:val="es-ES" w:eastAsia="zh-CN" w:bidi="ar-SA"/>
          </w:rPr>
          <w:t>Agroecología: un Enfoque de Transformación Sustentable de los Sistemas Agroalimentarios – Módulo Q - Agroecología política: etnicidad, ciudadanía y democracia</w:t>
        </w:r>
      </w:hyperlink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/>
          <w:sz w:val="48"/>
          <w:szCs w:val="48"/>
        </w:rPr>
      </w:r>
    </w:p>
    <w:p>
      <w:pPr>
        <w:pStyle w:val="Normal"/>
        <w:rPr>
          <w:rFonts w:ascii="Calibri" w:hAnsi="Calibri" w:cs="Calibri"/>
          <w:sz w:val="32"/>
          <w:szCs w:val="32"/>
        </w:rPr>
      </w:pPr>
      <w:r>
        <w:rPr>
          <w:rFonts w:cs="Calibri"/>
          <w:sz w:val="32"/>
          <w:szCs w:val="32"/>
        </w:rPr>
      </w:r>
    </w:p>
    <w:p>
      <w:pPr>
        <w:pStyle w:val="Normal"/>
        <w:suppressLineNumbers/>
        <w:suppressAutoHyphens w:val="true"/>
        <w:spacing w:lineRule="auto" w:line="240" w:before="0" w:after="0"/>
        <w:jc w:val="center"/>
        <w:textAlignment w:val="baseline"/>
        <w:rPr/>
      </w:pPr>
      <w:r>
        <w:rPr>
          <w:rFonts w:eastAsia="Calibri" w:cs="Calibri" w:cstheme="minorHAnsi"/>
          <w:b w:val="false"/>
          <w:bCs w:val="false"/>
          <w:color w:val="00000A"/>
          <w:kern w:val="2"/>
          <w:sz w:val="22"/>
          <w:szCs w:val="22"/>
          <w:u w:val="none"/>
          <w:lang w:val="es-ES" w:eastAsia="en-US" w:bidi="ar-SA"/>
        </w:rPr>
        <w:t>Agroecología Política: Etnicidad, ciudadanía y democracia</w:t>
      </w:r>
    </w:p>
    <w:p>
      <w:pPr>
        <w:pStyle w:val="Normal"/>
        <w:suppressLineNumbers/>
        <w:suppressAutoHyphens w:val="true"/>
        <w:spacing w:lineRule="auto" w:line="240" w:before="0" w:after="0"/>
        <w:jc w:val="center"/>
        <w:textAlignment w:val="baseline"/>
        <w:rPr>
          <w:rFonts w:ascii="Calibri" w:hAnsi="Calibri" w:cs="Calibri"/>
          <w:sz w:val="32"/>
          <w:szCs w:val="32"/>
        </w:rPr>
      </w:pPr>
      <w:r>
        <w:rPr>
          <w:rFonts w:eastAsia="Calibri" w:cs="Calibri" w:cstheme="minorHAnsi"/>
          <w:b w:val="false"/>
          <w:bCs w:val="false"/>
          <w:color w:val="00000A"/>
          <w:kern w:val="2"/>
          <w:sz w:val="22"/>
          <w:szCs w:val="22"/>
          <w:u w:val="none"/>
          <w:lang w:val="es-ES" w:eastAsia="en-US" w:bidi="ar-SA"/>
        </w:rPr>
        <w:t/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color w:val="FF6600"/>
          <w:sz w:val="48"/>
          <w:szCs w:val="48"/>
        </w:rPr>
      </w:pPr>
      <w:r>
        <w:rPr>
          <w:rFonts w:cs="Calibri" w:ascii="Calibri" w:hAnsi="Calibri"/>
          <w:color w:val="FF6600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 w:ascii="Calibri" w:hAnsi="Calibri"/>
          <w:color w:val="70AD47"/>
          <w:sz w:val="48"/>
          <w:szCs w:val="48"/>
        </w:rPr>
        <w:t>GUÍA DOCENTE </w:t>
      </w:r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/>
          <w:color w:val="70AD47"/>
          <w:sz w:val="48"/>
          <w:szCs w:val="48"/>
        </w:rPr>
      </w:r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/>
          <w:color w:val="70AD47"/>
          <w:sz w:val="48"/>
          <w:szCs w:val="48"/>
        </w:rPr>
        <w:drawing>
          <wp:anchor behindDoc="0" distT="0" distB="0" distL="0" distR="0" simplePos="0" locked="0" layoutInCell="1" allowOverlap="1" relativeHeight="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2340610" cy="288036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610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eastAsia="Arial" w:cs="Calibri" w:cstheme="minorHAnsi"/>
          <w:b/>
          <w:sz w:val="24"/>
          <w:szCs w:val="24"/>
          <w:u w:val="none"/>
        </w:rPr>
        <w:t>INSTRUCCIONES PARA LA ELABORACIÓN Y TRAMITACIÓN DE LAS GUÍAS DOCENTES DE LAS ASIGNATURAS</w:t>
      </w:r>
    </w:p>
    <w:p>
      <w:pPr>
        <w:pStyle w:val="ListParagraph"/>
        <w:spacing w:lineRule="auto" w:line="312" w:before="120" w:after="120"/>
        <w:ind w:left="360" w:hanging="0"/>
        <w:contextualSpacing/>
        <w:jc w:val="left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p>
      <w:pPr>
        <w:sectPr>
          <w:headerReference w:type="default" r:id="rId4"/>
          <w:footerReference w:type="default" r:id="rId5"/>
          <w:type w:val="nextPage"/>
          <w:pgSz w:w="11906" w:h="16838"/>
          <w:pgMar w:left="1701" w:right="1701" w:header="1417" w:top="1717" w:footer="708" w:bottom="1417" w:gutter="0"/>
          <w:pgNumType w:fmt="decimal"/>
          <w:formProt w:val="false"/>
          <w:textDirection w:val="lrTb"/>
          <w:docGrid w:type="default" w:linePitch="360" w:charSpace="4096"/>
        </w:sectPr>
        <w:pStyle w:val="ListParagraph"/>
        <w:spacing w:lineRule="auto" w:line="312" w:before="120" w:after="120"/>
        <w:ind w:left="360" w:hanging="0"/>
        <w:contextualSpacing/>
        <w:jc w:val="left"/>
        <w:rPr>
          <w:rFonts w:ascii="Calibri" w:hAnsi="Calibri" w:cs="Calibri"/>
          <w:color w:val="70AD47"/>
          <w:sz w:val="48"/>
          <w:szCs w:val="48"/>
        </w:rPr>
      </w:pPr>
      <w:r>
        <w:rPr>
          <w:rFonts w:eastAsia="Arial" w:cs="Calibri" w:cstheme="minorHAnsi"/>
          <w:sz w:val="22"/>
          <w:szCs w:val="22"/>
          <w:u w:val="none"/>
        </w:rPr>
        <w:t/>
      </w:r>
    </w:p>
    <w:p>
      <w:pPr>
        <w:pStyle w:val="Normal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tbl>
      <w:tblPr>
        <w:tblW w:w="9781" w:type="dxa"/>
        <w:jc w:val="left"/>
        <w:tblInd w:w="-522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2445"/>
        <w:gridCol w:w="1333"/>
        <w:gridCol w:w="1286"/>
        <w:gridCol w:w="1285"/>
        <w:gridCol w:w="1288"/>
        <w:gridCol w:w="1072"/>
        <w:gridCol w:w="1071"/>
      </w:tblGrid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Tipo de Acción Formativa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Máster Universitario</w:t>
            </w:r>
          </w:p>
        </w:tc>
      </w:tr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 Nombre de la Acción Formativa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Agroecología: un Enfoque de Transformación Sustentable de los Sistemas Agroalimentarios</w:t>
            </w:r>
          </w:p>
        </w:tc>
      </w:tr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Denominación de la asignatura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left"/>
              <w:textAlignment w:val="baseline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kern w:val="2"/>
                <w:sz w:val="22"/>
                <w:szCs w:val="22"/>
                <w:u w:val="none"/>
                <w:lang w:val="es-ES" w:eastAsia="en-US" w:bidi="ar-SA"/>
              </w:rPr>
              <w:t>Agroecología Política: Etnicidad, ciudadanía y democracia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left"/>
              <w:textAlignment w:val="baseline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kern w:val="2"/>
                <w:sz w:val="22"/>
                <w:szCs w:val="22"/>
                <w:u w:val="none"/>
                <w:lang w:val="es-ES" w:eastAsia="en-US" w:bidi="ar-SA"/>
              </w:rPr>
              <w:t/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Módulo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Módulo Q - Agroecología política: etnicidad, ciudadanía y democracia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Curso académico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2024-2025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Tipología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Optativa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ECTS</w:t>
            </w:r>
          </w:p>
        </w:tc>
        <w:tc>
          <w:tcPr>
            <w:tcW w:w="1333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Teoría: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3.00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Práctica:</w:t>
            </w:r>
          </w:p>
        </w:tc>
        <w:tc>
          <w:tcPr>
            <w:tcW w:w="1288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b w:val="false"/>
                <w:bCs w:val="false"/>
                <w:color w:val="000000"/>
                <w:kern w:val="2"/>
                <w:sz w:val="22"/>
                <w:szCs w:val="22"/>
                <w:lang w:eastAsia="zh-CN" w:bidi="hi-IN"/>
              </w:rPr>
              <w:t>0.00</w:t>
            </w:r>
          </w:p>
        </w:tc>
        <w:tc>
          <w:tcPr>
            <w:tcW w:w="10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Total: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3.00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Modalidad Docente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PRESENCIAL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Periodo de impartición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7 al 11 de abril de 2025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Web universidad coordinadora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cs="Calibri"/>
                <w:color w:val="70AD47"/>
                <w:sz w:val="48"/>
                <w:szCs w:val="48"/>
              </w:rPr>
            </w:pPr>
            <w:hyperlink r:id="rId11">
              <w:r>
                <w:rPr>
                  <w:rStyle w:val="Hyperlink"/>
                </w:rPr>
                <w:t>https://www.unia.es/estudios-y-acceso/oferta-academica/masteres-oficiales/master-oficial-en-agroecologia-un-enfoque-para-la-sustentabilidad-rural-2</w:t>
              </w:r>
            </w:hyperlink>
          </w:p>
        </w:tc>
      </w:tr>
      <w:tr>
        <w:trPr>
          <w:trHeight w:val="704" w:hRule="atLeast"/>
        </w:trPr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pacing w:before="0" w:after="160"/>
              <w:contextualSpacing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/>
              <w:t>Web universidad colaboradora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/>
            </w:pPr>
            <w:hyperlink r:id="rId12">
              <w:r>
                <w:rPr>
                  <w:rStyle w:val="Hyperlink"/>
                </w:rPr>
                <w:t>https://www.uco.es/estudios/idep/agroecologia / https://www.upo.es/postgrado/Master-Oficial-Agroecologia-Un-Enfoque-de-Transformacion-Sustentable-de-los-Sistemas-Agroalimentarios/</w:t>
              </w:r>
            </w:hyperlink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 Idioma/s de impartición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contextualSpacing/>
              <w:jc w:val="left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sz w:val="22"/>
                <w:szCs w:val="22"/>
                <w:u w:val="none"/>
                <w:lang w:val="es-ES" w:eastAsia="en-US" w:bidi="ar-SA"/>
              </w:rPr>
              <w:t xml:space="preserve">Español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left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sz w:val="22"/>
                <w:szCs w:val="22"/>
                <w:u w:val="none"/>
                <w:lang w:val="es-ES" w:eastAsia="en-US" w:bidi="ar-SA"/>
              </w:rPr>
              <w:t/>
            </w:r>
          </w:p>
        </w:tc>
      </w:tr>
    </w:tbl>
    <w:p>
      <w:pPr>
        <w:pStyle w:val="Normal"/>
        <w:rPr>
          <w:sz w:val="40"/>
          <w:szCs w:val="40"/>
        </w:rPr>
      </w:pPr>
      <w:r>
        <w:rPr>
          <w:sz w:val="40"/>
          <w:szCs w:val="40"/>
        </w:rPr>
      </w:r>
    </w:p>
    <w:tbl>
      <w:tblPr>
        <w:tblW w:w="9808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714"/>
        <w:gridCol w:w="2111"/>
        <w:gridCol w:w="2113"/>
        <w:gridCol w:w="1869"/>
      </w:tblGrid>
      <w:tr>
        <w:trPr/>
        <w:tc>
          <w:tcPr>
            <w:tcW w:w="9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Responsable/s de la asignatura</w:t>
            </w:r>
          </w:p>
        </w:tc>
      </w:tr>
      <w:tr>
        <w:trPr/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Nombre y apellidos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Email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Universidad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Créditos</w:t>
            </w:r>
          </w:p>
        </w:tc>
      </w:tr>
      <w:tr>
        <w:trPr/>
        <w:tc>
          <w:tcPr>
            <w:tcW w:w="37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David Gallar Hernández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DE CORDOBA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1.00</w:t>
            </w:r>
          </w:p>
        </w:tc>
      </w:tr>
    </w:tbl>
    <w:p>
      <w:pPr>
        <w:pStyle w:val="Normal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709"/>
        <w:gridCol w:w="2117"/>
        <w:gridCol w:w="2111"/>
        <w:gridCol w:w="1869"/>
      </w:tblGrid>
      <w:tr>
        <w:trPr/>
        <w:tc>
          <w:tcPr>
            <w:tcW w:w="98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Profesorado</w:t>
            </w:r>
          </w:p>
        </w:tc>
      </w:tr>
      <w:tr>
        <w:trPr/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Nombre y apellidos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Email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Universidad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Créditos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Isabel Álvarez Vispo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SINDICATO EHNE BIZKAIA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1.00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Ángel Calle Collado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COOPERATIVA ECOJERTE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0.50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David Gallar Hernández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DE CORDOBA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1.00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Marta Guadalupe Rivera Ferré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DE VIC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0.50</w:t>
            </w:r>
          </w:p>
        </w:tc>
      </w:tr>
      <w:tr>
        <w:trPr/>
        <w:tc>
          <w:tcPr>
            <w:tcW w:w="980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TUTORIAS: Horario y localización</w:t>
            </w:r>
          </w:p>
        </w:tc>
      </w:tr>
      <w:tr>
        <w:trPr/>
        <w:tc>
          <w:tcPr>
            <w:tcW w:w="980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pacing w:before="0" w:after="16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Tutorías/seminarios: miércoles y jueves mañana: 9-11:30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Despacho profesorado</w:t>
            </w:r>
            <w:r>
              <w:t xml:space="preserve"/>
            </w:r>
          </w:p>
        </w:tc>
      </w:tr>
    </w:tbl>
    <w:p>
      <w:pPr>
        <w:pStyle w:val="Normal"/>
        <w:widowControl w:val="false"/>
        <w:suppressAutoHyphens w:val="true"/>
        <w:bidi w:val="0"/>
        <w:spacing w:lineRule="auto" w:line="259" w:before="0" w:after="160"/>
        <w:ind w:left="0" w:right="0" w:hanging="567"/>
        <w:contextualSpacing/>
        <w:jc w:val="left"/>
        <w:rPr>
          <w:rFonts w:eastAsia="NSimSun" w:cs="Calibri" w:cstheme="minorHAnsi"/>
          <w:b/>
          <w:b/>
          <w:color w:val="000000"/>
          <w:kern w:val="2"/>
          <w:lang w:eastAsia="zh-CN" w:bidi="hi-IN"/>
        </w:rPr>
      </w:pPr>
      <w:r>
        <w:rPr>
          <w:rFonts w:eastAsia="NSimSun" w:cs="Calibri" w:cstheme="minorHAnsi"/>
          <w:b/>
          <w:color w:val="000000"/>
          <w:kern w:val="2"/>
          <w:lang w:eastAsia="zh-CN" w:bidi="hi-IN"/>
        </w:rPr>
      </w:r>
    </w:p>
    <w:p>
      <w:pPr>
        <w:pStyle w:val="Normal"/>
        <w:widowControl w:val="false"/>
        <w:suppressAutoHyphens w:val="true"/>
        <w:bidi w:val="0"/>
        <w:spacing w:lineRule="auto" w:line="259" w:before="0" w:after="160"/>
        <w:ind w:left="0" w:right="0" w:hanging="567"/>
        <w:contextualSpacing/>
        <w:jc w:val="left"/>
        <w:rPr>
          <w:rFonts w:eastAsia="NSimSun" w:cs="Calibri" w:cstheme="minorHAnsi"/>
          <w:b/>
          <w:b/>
          <w:color w:val="000000"/>
          <w:kern w:val="2"/>
          <w:lang w:eastAsia="zh-CN" w:bidi="hi-IN"/>
        </w:rPr>
      </w:pPr>
      <w:r>
        <w:rPr>
          <w:rFonts w:eastAsia="NSimSun" w:cs="Calibri" w:cstheme="minorHAnsi"/>
          <w:b w:val="false"/>
          <w:bCs w:val="false"/>
          <w:color w:val="000000"/>
          <w:kern w:val="2"/>
          <w:sz w:val="22"/>
          <w:szCs w:val="22"/>
          <w:lang w:eastAsia="zh-CN" w:bidi="hi-IN"/>
        </w:rPr>
        <w:t/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682"/>
        <w:gridCol w:w="6124"/>
      </w:tblGrid>
      <w:tr>
        <w:trPr/>
        <w:tc>
          <w:tcPr>
            <w:tcW w:w="9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RESULTADOS DEL PROCESO DE FORMACIÓN Y APRENDIZAJE</w:t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Conocimientos o contenidos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Conoce las dimensiones del poder, democracia y manejo sostenible de los recursos naturales; los debates históricos y actuales sobre ciudadanía, participación, instituciones públicas, movimientos sociales y cambio social; las críticas actuales a las dinámicas de gobierno y gobernanza que se dan en el marco de la globalización; los conceptos de democracia participativa y democracia radical en el marco de la sustentabilidad rural y urbana.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Competencias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t xml:space="preserve"/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Habilidades o destrezas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Maneja herramientas, tanto conceptuales como prácticas, sobre dimensiones transversales a la agroecología en el marco de la globalización alimentaria: ciencia posnormal, filosofía de la acción participativa, la construcción social del conocimiento y la confianza, posdesarrollo y decrecimiento, las relaciones de género.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</w:tbl>
    <w:p>
      <w:pPr>
        <w:pStyle w:val="Normal"/>
        <w:widowControl w:val="false"/>
        <w:suppressLineNumbers/>
        <w:suppressAutoHyphens w:val="true"/>
        <w:bidi w:val="0"/>
        <w:spacing w:lineRule="auto" w:line="240" w:before="0" w:after="0"/>
        <w:ind w:left="0" w:right="0" w:hanging="624"/>
        <w:contextualSpacing/>
        <w:jc w:val="left"/>
        <w:textAlignment w:val="baseline"/>
        <w:rPr>
          <w:b w:val="false"/>
          <w:b w:val="false"/>
          <w:bCs w:val="false"/>
        </w:rPr>
      </w:pPr>
      <w:r>
        <w:rPr>
          <w:rFonts w:eastAsia="NSimSun" w:cs="Calibri" w:cstheme="minorHAnsi"/>
          <w:b w:val="false"/>
          <w:bCs w:val="false"/>
          <w:color w:val="000000"/>
          <w:kern w:val="2"/>
          <w:sz w:val="24"/>
          <w:szCs w:val="24"/>
          <w:lang w:eastAsia="zh-CN" w:bidi="hi-IN"/>
        </w:rPr>
        <w:t/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009"/>
        <w:gridCol w:w="2413"/>
        <w:gridCol w:w="2411"/>
        <w:gridCol w:w="104"/>
        <w:gridCol w:w="1869"/>
      </w:tblGrid>
      <w:tr>
        <w:trPr/>
        <w:tc>
          <w:tcPr>
            <w:tcW w:w="98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DESCRIPTORES DE CONTENIDOS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Clases teóricas: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•</w:t>
            </w:r>
            <w:r>
              <w:tab/>
            </w:r>
            <w:r>
              <w:t xml:space="preserve">Bifurcaciones y desafecciones en las democracias contemporáneas: debates abiertos sobre el papel de la ciudadanía, la participación política y los sistemas organizativos en la construcción de un desarrollo rural y urbano sustentable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•</w:t>
            </w:r>
            <w:r>
              <w:tab/>
            </w:r>
            <w:r>
              <w:t xml:space="preserve">Enfoques clásicos de democracia: socialismo, liberalismo y anarquismo. Ampliando paradigmas: democracia ecológica, comunales y nuevos comunes, la perspectiva ecofeminista emporáneas sobre poder y cambio social, posdesarrollo y democracia.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•</w:t>
            </w:r>
            <w:r>
              <w:tab/>
            </w:r>
            <w:r>
              <w:t xml:space="preserve">Redes críticas, movimientos sociales y expresiones de democracia radical. Análisis de formas contemporáneas de satisfacción de necesidades básicas “desde abajo”. Estrategias municipalistas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•</w:t>
            </w:r>
            <w:r>
              <w:tab/>
            </w:r>
            <w:r>
              <w:t xml:space="preserve">La construcción de la democracia: de la cotidianeidad a las políticas públicas, del poder a las alternativas sostenibles, de la situación y el territorio a la escala global, de la dominación a formas de participación que trabajen desde la diversidad biocultural. La lucha por la soberanía alimentaria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/>
              <w:br/>
              <w:t xml:space="preserve"/>
            </w:r>
            <w:r>
              <w:rPr>
                <w:sz w:val="22"/>
                <w:szCs w:val="22"/>
                <w:b/>
              </w:rPr>
              <w:t xml:space="preserve">Clases prácticas: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•</w:t>
            </w:r>
            <w:r>
              <w:tab/>
            </w:r>
            <w:r>
              <w:t xml:space="preserve">Análisis de la naturaleza democrática del sistema cooperativista en el Estado español. 
</w:t>
              <w:br/>
              <w:t xml:space="preserve">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Actividades dirigidas: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1.   </w:t>
            </w:r>
            <w:r>
              <w:rPr>
                <w:sz w:val="22"/>
                <w:szCs w:val="22"/>
              </w:rPr>
              <w:t xml:space="preserve">Seminario: Discusión, con respecto a la dimensión democrática, de las experiencias en que alumnos y profesores han participado en el ámbito de la agroecología. 
</w:t>
              <w:br/>
              <w:t xml:space="preserve"/>
            </w:r>
            <w:r>
              <w:rPr>
                <w:sz w:val="22"/>
                <w:szCs w:val="22"/>
              </w:rPr>
              <w:t xml:space="preserve">    2.   </w:t>
            </w:r>
            <w:r>
              <w:rPr>
                <w:sz w:val="22"/>
                <w:szCs w:val="22"/>
              </w:rPr>
              <w:t xml:space="preserve">Conferencias: La actualidad de la democracia, los movimientos sociales y el Estado en América Latina y la Unión Europea: ¿repensando la política?</w:t>
            </w:r>
            <w:r>
              <w:t xml:space="preserve"/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ACTIVIDADES FORMATIVAS Y METODOLOGÍAS DOCENTES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t xml:space="preserve"/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Actividad formativa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Modalidad de enseñanza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Dedicación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  <w:t>(horas de trabajo autónomo del estudiante)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Dedicación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  <w:t>(horas de trabajo lectivas del estudiante con apoyo del profesor)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expositivas y prácticas (presenciales, síncronas y/o asíncronas)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PRESENCIAL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10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dirigidas y/o supervisadas académicamente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PRESENCIAL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20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autónomas del estudiante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SIN DETERMINAR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45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0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SISTEMA DE EVALUACIÓN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La asignatura será evaluada a través de la realización de un trabajo individual de reflexión y análisis utilizando las lecturas y los contenidos facilitados en clase y en la moodle.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Al final de la asignatura habrá una actividad de debate y puesta en común de los contenidos y las principales aportaciones prácticas.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Estos trabajos tendrán que entregarse antes del plazo máximo, bien por correo electrónico a la persona coordinadora de módulo o subiendo un archivo como tarea en el apartado correspondiente de la asignatura en la moodle.</w:t>
            </w:r>
            <w:r>
              <w:t xml:space="preserve"/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pacing w:before="0" w:after="0"/>
              <w:contextualSpacing/>
              <w:jc w:val="center"/>
              <w:rPr>
                <w:rFonts w:eastAsia="Tahoma" w:cs="Calibri"/>
                <w:b/>
                <w:b/>
                <w:sz w:val="26"/>
                <w:szCs w:val="26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2"/>
                <w:szCs w:val="22"/>
                <w:lang w:val="es-ES" w:eastAsia="zh-CN" w:bidi="hi-IN"/>
              </w:rPr>
              <w:t/>
            </w:r>
            <w:r>
              <w:rPr>
                <w:rFonts w:eastAsia="Tahoma" w:cs="Calibri" w:cstheme="minorHAnsi"/>
                <w:b/>
                <w:color w:val="000000"/>
                <w:kern w:val="2"/>
                <w:sz w:val="26"/>
                <w:szCs w:val="26"/>
                <w:lang w:val="es-ES" w:eastAsia="zh-CN" w:bidi="hi-IN"/>
              </w:rPr>
              <w:t>Estrategias/metodologías de evaluación</w:t>
            </w:r>
            <w:r>
              <w:rPr>
                <w:rFonts w:eastAsia="NSimSun" w:cs="Calibri" w:cstheme="minorHAnsi"/>
                <w:b/>
                <w:color w:val="000000"/>
                <w:kern w:val="2"/>
                <w:sz w:val="22"/>
                <w:szCs w:val="22"/>
                <w:lang w:val="es-ES" w:eastAsia="zh-CN" w:bidi="hi-IN"/>
              </w:rPr>
              <w:t/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Tahoma" w:cs="Calibri" w:cstheme="minorHAnsi"/>
                <w:b/>
              </w:rPr>
              <w:t>Porcentaje de valoración sobre el total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Informe/memoria de prácticas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40%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Pruebas de respuesta larga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40%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Trabajos en grupo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20%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MEDIOS Y RECURSOS DIDÁCTICOS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Lección magistral   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Trabajos en grupo y/o exposiciones en grupo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Debates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Estudio y análisis de materiales y lecturas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BIBLIOGRAFÍA</w:t>
            </w:r>
          </w:p>
        </w:tc>
      </w:tr>
      <w:tr>
        <w:trPr>
          <w:trHeight w:val="522" w:hRule="atLeast"/>
        </w:trPr>
        <w:tc>
          <w:tcPr>
            <w:tcW w:w="98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Agroecología Política: transición social y campesinado. Autores: Ángel CALLE COLLADO y David GALLAR. Alasru, 2010. 
</w:t>
              <w:br/>
              <w:t xml:space="preserve">Angel Calle Collado: (co-editor) Rebeldías en común. Sobre comunales, nuevos comunes y economías cooperativas, Madrid, Libros en Acción, 2017 
</w:t>
              <w:br/>
              <w:t xml:space="preserve">Angel Calle Collado: (co-autor con Ricard Vilaregut) Territorios en Democracia. Icaria, Barcelona, 104 páginas, 2015, ISBN 9788498886351 
</w:t>
              <w:br/>
              <w:t xml:space="preserve">Angel Calle Collado: (autor) La Transición Inaplazable. Los nuevos sujetos políticos para salir de la crisis, Icaria, Barcelona, 269 páginas, 2013, ISBN 9788498884982 
</w:t>
              <w:br/>
              <w:t xml:space="preserve">Angel Calle Collado: (coord. Con Mamen Cuéllar y David Gallar) Procesos hacia la soberanía alimentaria. Perspectivas y prácticas desde la agroecología política, Icaria, Barcelona, 216 paginas, 2013, ISBN 9788498884531. 
</w:t>
              <w:br/>
              <w:t xml:space="preserve">Víctor Manuel Toledo. Metabolismos, naturaleza e historia. Hacia una teoría de las transformaciones socioecológicas. Editorial Icaria, Barcelona, 2011 
</w:t>
              <w:br/>
              <w:t xml:space="preserve">Fernando Prats, Yayo Herrero y Alicia Torrego, La gran Encrucijada. Sobre la crisis ecosocial y el cambio de ciclo histórico, Editorial: Libros en Acción, 2016 
</w:t>
              <w:br/>
              <w:t xml:space="preserve">Siliprandi y Gloria Patricia Zuloaga (coord.) Género, Agroecología y Soberanía Alimentaria. Barcelona: Icaria, 2015 
</w:t>
              <w:br/>
              <w:t xml:space="preserve">Stephan Rist (autor): Si estamos de buen corazón, siempre hay producción. Caminos en la renovación de formas de producción y vida tradicional y su importancia para el desarrollo sostenible, Agruco, 2002. 
</w:t>
              <w:br/>
              <w:t xml:space="preserve">Ver número especial en Revista Agroecología: https://www.agroecologia.net/revista-agroecologia-no6/</w:t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>
          <w:trHeight w:val="413" w:hRule="atLeast"/>
        </w:trPr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PLAN DE CONTINGENCIA</w:t>
            </w:r>
          </w:p>
        </w:tc>
      </w:tr>
      <w:tr>
        <w:trPr>
          <w:trHeight w:val="522" w:hRule="atLeast"/>
        </w:trPr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t xml:space="preserve"/>
            </w:r>
            <w:r>
              <w:rPr>
                <w:rFonts w:eastAsia="NSimSun" w:cs="Calibri" w:cstheme="minorHAnsi"/>
                <w:b w:val="false"/>
                <w:bCs w:val="false"/>
                <w:color w:val="000000"/>
                <w:kern w:val="2"/>
                <w:sz w:val="24"/>
                <w:szCs w:val="24"/>
                <w:lang w:eastAsia="zh-CN" w:bidi="hi-IN"/>
              </w:rPr>
              <w:t/>
            </w:r>
          </w:p>
        </w:tc>
      </w:tr>
    </w:tbl>
    <w:p>
      <w:pPr>
        <w:pStyle w:val="TableContents"/>
        <w:spacing w:before="0" w:after="160"/>
        <w:jc w:val="both"/>
        <w:rPr>
          <w:rFonts w:ascii="Serif" w:hAnsi="Serif"/>
        </w:rPr>
      </w:pPr>
      <w:r>
        <w:rPr>
          <w:rFonts w:ascii="Serif" w:hAnsi="Serif"/>
        </w:rPr>
      </w:r>
    </w:p>
    <w:p>
      <w:pPr>
        <w:pStyle w:val="TableContents"/>
        <w:spacing w:before="0" w:after="160"/>
        <w:jc w:val="both"/>
        <w:rPr>
          <w:rFonts w:ascii="Serif" w:hAnsi="Serif"/>
        </w:rPr>
      </w:pPr>
      <w:r>
        <w:rPr>
          <w:rFonts w:eastAsia="Calibri" w:cs="" w:ascii="Serif" w:hAnsi="Serif" w:cstheme="minorBidi" w:eastAsiaTheme="minorHAnsi"/>
          <w:b w:val="false"/>
          <w:bCs w:val="false"/>
          <w:color w:val="00000A"/>
          <w:kern w:val="0"/>
          <w:sz w:val="20"/>
          <w:szCs w:val="20"/>
          <w:lang w:val="es-ES" w:eastAsia="en-US" w:bidi="ar-SA"/>
        </w:rPr>
        <w:t>En None, a 25 de abril de 2024.</w:t>
      </w:r>
    </w:p>
    <w:p>
      <w:pPr>
        <w:pStyle w:val="TableContents"/>
        <w:widowControl/>
        <w:suppressAutoHyphens w:val="true"/>
        <w:bidi w:val="0"/>
        <w:spacing w:lineRule="auto" w:line="312" w:before="0" w:after="160"/>
        <w:ind w:left="-567" w:right="0" w:hanging="0"/>
        <w:jc w:val="right"/>
        <w:rPr>
          <w:rFonts w:ascii="Serif" w:hAnsi="Serif"/>
        </w:rPr>
      </w:pPr>
      <w:r>
        <w:rPr>
          <w:rFonts w:eastAsia="Calibri" w:cs="" w:ascii="Serif" w:hAnsi="Serif" w:cstheme="minorBidi" w:eastAsiaTheme="minorHAnsi"/>
          <w:b w:val="false"/>
          <w:bCs w:val="false"/>
          <w:color w:val="00000A"/>
          <w:kern w:val="0"/>
          <w:sz w:val="20"/>
          <w:szCs w:val="20"/>
          <w:lang w:val="es-ES" w:eastAsia="en-US" w:bidi="ar-SA"/>
        </w:rPr>
        <w:t>Fdo.: Gallar Hernández, David</w:t>
      </w:r>
    </w:p>
    <w:p>
      <w:pPr>
        <w:pStyle w:val="TableContents"/>
        <w:widowControl/>
        <w:suppressAutoHyphens w:val="true"/>
        <w:bidi w:val="0"/>
        <w:spacing w:lineRule="auto" w:line="312" w:before="0" w:after="160"/>
        <w:ind w:left="-567" w:right="0" w:hanging="0"/>
        <w:jc w:val="right"/>
        <w:rPr>
          <w:rFonts w:ascii="Serif" w:hAnsi="Serif"/>
        </w:rPr>
      </w:pPr>
      <w:r>
        <w:rPr>
          <w:rFonts w:ascii="Serif" w:hAnsi="Serif"/>
        </w:rPr>
      </w:r>
    </w:p>
    <w:p>
      <w:pPr>
        <w:pStyle w:val="Normal"/>
        <w:widowControl/>
        <w:suppressAutoHyphens w:val="true"/>
        <w:bidi w:val="0"/>
        <w:spacing w:lineRule="auto" w:line="312" w:before="120" w:after="120"/>
        <w:ind w:left="-567" w:right="0" w:hanging="0"/>
        <w:contextualSpacing/>
        <w:jc w:val="left"/>
        <w:rPr>
          <w:sz w:val="10"/>
          <w:szCs w:val="10"/>
        </w:rPr>
      </w:pPr>
      <w:r>
        <w:rPr>
          <w:rFonts w:ascii="Times New Roman" w:hAnsi="Times New Roman"/>
          <w:sz w:val="10"/>
          <w:szCs w:val="10"/>
        </w:rPr>
        <w:t>            Conforme a lo dispuesto en la legislación vigente en materia de protección de datos de carácter personal(Reglamento(UE) 2016/679, de 27 de abril) le informamos que los datos personales que nos ha facilitado pasarán a ser tratados por la UNIVERSIDAD INTERNACONAL DE ANDALUCÍA como responsable del tratamiento, siendo órgano competente en la materia la Dirección del Área de Gestión Académica(Monasterio Santa María de las Cuevas, C / Américo Vespucio nº2. Isla de La Cartuja - 41092 - Sevilla) ante quien Ud. puede ejercitar sus derechos de acceso, rectificación, limitación, oposición o portabilidad señalando concretamente la causa de su solicitud y acompañando copia de su documento acreditativo de identidad. La solicitud podrá hacerse mediante escrito en formato papel o por medios electrónicos.
</w:t>
        <w:br/>
        <w:t xml:space="preserve">
</w:t>
        <w:br/>
        <w:t xml:space="preserve">            Caso de no obtener contestación o ver desestimada su solicitud puede dirigirse al Delegado de Protección de Datos de la Universidad(rgpd@unia.es Tfno 954 462299) o en reclamación a la Agencia Española de Protección de Datos a través de los formularios que esa entidad tiene habilitados al efecto y que son accesibles desde su página web: https: // sedeagpd.gob.es
</w:t>
        <w:br/>
        <w:t xml:space="preserve">
</w:t>
        <w:br/>
        <w:t xml:space="preserve">            Como responsable, la Universidad le informa que exclusivamente tratará los datos personales que Ud. le facilite para dar cumplimiento a los siguientes fines:
</w:t>
        <w:br/>
        <w:t xml:space="preserve">            a)    Gestión académica y administrativa de:
</w:t>
        <w:br/>
        <w:t xml:space="preserve">                •    Participación en procesos de acceso y admisión a las enseñanzas oficiales(Grado, Máster y Doctorado) o de formación Continua de la Universidad Internacional de Andalucía.
</w:t>
        <w:br/>
        <w:t xml:space="preserve">                •    Inscripción y/o matrícula como alumno en cualquiera de las titulaciones oficiales(Grado, Máster y Doctorado), Formación Continua u otras actividades académicas ofrecidas por la Universidad Internacional de    Andalucía.
</w:t>
        <w:br/>
        <w:t xml:space="preserve">                •    Participación en convocatorias de becas y ayudas al estudio de la Universidad Internacional de Andalucía, la Admón. General del Estado o la de las Comunidades Autónomas y de otras entidades públicas o privadas.
</w:t>
        <w:br/>
        <w:t xml:space="preserve">                •    Participación en convocatorias de programas de movilidad de carácter nacional o internacional.
</w:t>
        <w:br/>
        <w:t xml:space="preserve">                •    Obtención y expedición de títulos oficiales, títulos propios y otros títulos académico
</w:t>
        <w:br/>
        <w:t xml:space="preserve">            b)    Gestión de su participación como estudiante en prácticas y actividades formativas nacionales o internacionales en instituciones, empresas, organismos o en otros centros.
</w:t>
        <w:br/>
        <w:t xml:space="preserve">            c)    Utilización de servicios universitarios como obtención del carné universitario, bibliotecas, actividades deportivas u otros.
</w:t>
        <w:br/>
        <w:t xml:space="preserve">
</w:t>
        <w:br/>
        <w:t xml:space="preserve">            La Universidad se encuentra legitimada para tratar estos datos al ser necesarios para la ejecución de la relación jurídica establecida entre Ud. y la Universidad y para que ésta pueda cumplir con sus obligaciones legales establecidas en la Ley Orgánica 6/2001, de Universidades.
</w:t>
        <w:br/>
        <w:t xml:space="preserve">            Usted responde de la veracidad de los datos personales que ha proporcionado a la Universidad y de su actualización.
</w:t>
        <w:br/>
        <w:t xml:space="preserve">            La Universidad comunicará los datos personales que sean indispensables, y nunca en otro caso, a las siguientes categorías de destinatarios:
</w:t>
        <w:br/>
        <w:t xml:space="preserve">                •    A otras Administraciones y organismos públicos para el ejercicio de las competencias que les sean propias y compatibles con las finalidades arriba enunciadas(Así - a modo enunciativo y no limitativo - a Ministerios con competencias en educación y ciencia, a otras administraciones, a otras Universidades o Centros formativos equivalentes para la gestión de traslados, a empresas para la realización de prácticas)
</w:t>
        <w:br/>
        <w:t xml:space="preserve">                •    A entidades bancarias para la gestión de pagos y cobros.
</w:t>
        <w:br/>
        <w:t xml:space="preserve">                •    A organismos públicos o privados en virtud de la celebración de convenios de colaboración o contratos, conforme a lo dispuesto en la legislación vigente en materia de Protección de Datos.
</w:t>
        <w:br/>
        <w:t xml:space="preserve">                •    A los servicios de la propia Universidad que sean adecuados para gestionar la utilización de los servicios universitarios ofertados.
</w:t>
        <w:br/>
        <w:t xml:space="preserve">            Sus datos de carácter personal se tratarán y conservarán por la Universidad conforme a la legislación vigente en materia de protección de datos, pasando luego a formar parte –previo expurgo - del Archivo Histórico Universitario conforme a lo dispuesto en la legislación sobre Patrimonio Histórico.
</w:t>
        <w:br/>
        <w:t xml:space="preserve">
</w:t>
        <w:br/>
        <w:t xml:space="preserve">            La Universidad sólo prevé la transferencia de datos a terceros países en el caso de su participación como alumno en alguno de los programas de formación o becas de carácter internacional. La transferencia se realizará siguiendo las directrices establecidas al respecto por el Reglamento Europeo de Protección de Datos y normativa de desarrollo.
</w:t>
        <w:br/>
        <w:t xml:space="preserve">            El Servicio de Protección de Datos de la Universidad Internacional de Andalucía cuenta con una página en la que incluye legislación, información y modelos en relación con la Protección de Datos Personales a la que puede acceder desde el siguiente enlace:  https://www.unia.es/protecciondatos</w:t>
      </w:r>
    </w:p>
    <w:sectPr>
      <w:headerReference w:type="default" r:id="rId6"/>
      <w:footerReference w:type="default" r:id="rId7"/>
      <w:type w:val="nextPage"/>
      <w:pgSz w:w="11906" w:h="16838"/>
      <w:pgMar w:left="1701" w:right="1701" w:header="567" w:top="1418" w:footer="709" w:bottom="1418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Segoe UI"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Serif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18311391"/>
    </w:sdtPr>
    <w:sdtContent>
      <w:p>
        <w:pPr>
          <w:pStyle w:val="Footer"/>
          <w:jc w:val="center"/>
          <w:rPr>
            <w:sz w:val="18"/>
            <w:szCs w:val="18"/>
          </w:rPr>
        </w:pPr>
        <w:r>
          <w:rPr>
            <w:sz w:val="18"/>
            <w:szCs w:val="18"/>
          </w:rPr>
          <w:fldChar w:fldCharType="begin"/>
        </w:r>
        <w:r>
          <w:rPr>
            <w:sz w:val="18"/>
            <w:szCs w:val="18"/>
          </w:rPr>
          <w:instrText> PAGE </w:instrText>
        </w:r>
        <w:r>
          <w:rPr>
            <w:sz w:val="18"/>
            <w:szCs w:val="18"/>
          </w:rPr>
          <w:fldChar w:fldCharType="separate"/>
        </w:r>
        <w:r>
          <w:rPr>
            <w:sz w:val="18"/>
            <w:szCs w:val="18"/>
          </w:rPr>
          <w:t>2</w:t>
        </w:r>
        <w:r>
          <w:rPr>
            <w:sz w:val="18"/>
            <w:szCs w:val="18"/>
          </w:rPr>
          <w:fldChar w:fldCharType="end"/>
        </w:r>
      </w:p>
    </w:sdtContent>
  </w:sdt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83614652"/>
    </w:sdtPr>
    <w:sdtContent>
      <w:p>
        <w:pPr>
          <w:pStyle w:val="Footer"/>
          <w:jc w:val="center"/>
          <w:rPr>
            <w:sz w:val="18"/>
            <w:szCs w:val="18"/>
          </w:rPr>
        </w:pPr>
        <w:r>
          <w:rPr>
            <w:sz w:val="18"/>
            <w:szCs w:val="18"/>
          </w:rPr>
          <w:fldChar w:fldCharType="begin"/>
        </w:r>
        <w:r>
          <w:rPr>
            <w:sz w:val="18"/>
            <w:szCs w:val="18"/>
          </w:rPr>
          <w:instrText> PAGE </w:instrText>
        </w:r>
        <w:r>
          <w:rPr>
            <w:sz w:val="18"/>
            <w:szCs w:val="18"/>
          </w:rPr>
          <w:fldChar w:fldCharType="separate"/>
        </w:r>
        <w:r>
          <w:rPr>
            <w:sz w:val="18"/>
            <w:szCs w:val="18"/>
          </w:rPr>
          <w:t>5</w:t>
        </w:r>
        <w:r>
          <w:rPr>
            <w:sz w:val="18"/>
            <w:szCs w:val="18"/>
          </w:rPr>
          <w:fldChar w:fldCharType="end"/>
        </w:r>
      </w:p>
    </w:sdtContent>
  </w:sdt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808" w:type="dxa"/>
      <w:jc w:val="left"/>
      <w:tblInd w:w="-520" w:type="dxa"/>
      <w:tblCellMar>
        <w:top w:w="0" w:type="dxa"/>
        <w:left w:w="108" w:type="dxa"/>
        <w:bottom w:w="0" w:type="dxa"/>
        <w:right w:w="108" w:type="dxa"/>
      </w:tblCellMar>
      <w:tblLook w:val="0000" w:noHBand="0" w:noVBand="0" w:firstColumn="0" w:lastRow="0" w:lastColumn="0" w:firstRow="0"/>
    </w:tblPr>
    <w:tblGrid>
      <w:gridCol w:w="4419"/>
      <w:gridCol w:w="5388"/>
    </w:tblGrid>
    <w:tr>
      <w:trPr/>
      <w:tc>
        <w:tcPr>
          <w:tcW w:w="4419" w:type="dxa"/>
          <w:tcBorders/>
          <w:shd w:color="auto" w:fill="auto" w:val="clear"/>
          <w:vAlign w:val="center"/>
        </w:tcPr>
        <w:p>
          <w:pPr>
            <w:pStyle w:val="Normal"/>
            <w:widowControl w:val="false"/>
            <w:suppressLineNumbers/>
            <w:tabs>
              <w:tab w:val="clear" w:pos="708"/>
              <w:tab w:val="center" w:pos="4819" w:leader="none"/>
              <w:tab w:val="right" w:pos="9638" w:leader="none"/>
            </w:tabs>
            <w:suppressAutoHyphens w:val="true"/>
            <w:spacing w:lineRule="auto" w:line="240" w:before="0" w:after="0"/>
            <w:textAlignment w:val="baseline"/>
            <w:rPr>
              <w:rFonts w:ascii="Times New Roman" w:hAnsi="Times New Roman" w:eastAsia="Times New Roman" w:cs="Times New Roman"/>
              <w:kern w:val="2"/>
              <w:sz w:val="20"/>
              <w:szCs w:val="20"/>
              <w:lang w:eastAsia="zh-CN"/>
            </w:rPr>
          </w:pPr>
          <w:r>
            <w:rPr>
              <w:rFonts w:eastAsia="Times New Roman" w:cs="Times New Roman" w:ascii="Times New Roman" w:hAnsi="Times New Roman"/>
              <w:kern w:val="2"/>
              <w:sz w:val="20"/>
              <w:szCs w:val="20"/>
              <w:lang w:eastAsia="zh-CN"/>
            </w:rPr>
            <w:drawing>
              <wp:anchor behindDoc="1" distT="0" distB="0" distL="0" distR="0" simplePos="0" locked="0" layoutInCell="1" allowOverlap="1" relativeHeight="4">
                <wp:simplePos x="0" y="0"/>
                <wp:positionH relativeFrom="column">
                  <wp:align>center</wp:align>
                </wp:positionH>
                <wp:positionV relativeFrom="paragraph">
                  <wp:posOffset>635</wp:posOffset>
                </wp:positionV>
                <wp:extent cx="2139950" cy="708660"/>
                <wp:effectExtent l="0" t="0" r="0" b="0"/>
                <wp:wrapSquare wrapText="largest"/>
                <wp:docPr id="2" name="Image2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2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39950" cy="7086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388" w:type="dxa"/>
          <w:tcBorders/>
          <w:shd w:color="auto" w:fill="auto" w:val="clear"/>
          <w:vAlign w:val="center"/>
        </w:tcPr>
        <w:p>
          <w:pPr>
            <w:pStyle w:val="Normal"/>
            <w:widowControl w:val="false"/>
            <w:spacing w:before="480" w:after="160"/>
            <w:jc w:val="right"/>
            <w:rPr>
              <w:sz w:val="28"/>
              <w:szCs w:val="28"/>
            </w:rPr>
          </w:pPr>
          <w:r>
            <w:rPr>
              <w:rFonts w:eastAsia="NSimSun" w:cs="Calibri" w:cstheme="minorHAnsi"/>
              <w:b/>
              <w:color w:val="000000"/>
              <w:kern w:val="2"/>
              <w:sz w:val="28"/>
              <w:szCs w:val="28"/>
              <w:lang w:bidi="hi-IN"/>
            </w:rPr>
            <w:t xml:space="preserve">  </w:t>
          </w:r>
          <w:r>
            <w:rPr>
              <w:rFonts w:eastAsia="NSimSun" w:cs="Calibri" w:cstheme="minorHAnsi"/>
              <w:b/>
              <w:color w:val="000000"/>
              <w:kern w:val="2"/>
              <w:sz w:val="28"/>
              <w:szCs w:val="28"/>
              <w:lang w:bidi="hi-IN"/>
            </w:rPr>
            <w:t>GUÍA DOCENTE</w:t>
          </w:r>
        </w:p>
      </w:tc>
    </w:tr>
  </w:tbl>
  <w:p>
    <w:pPr>
      <w:pStyle w:val="Header"/>
      <w:rPr>
        <w:rFonts w:eastAsia="NSimSun" w:cs="Calibri" w:cstheme="minorHAnsi"/>
        <w:b/>
        <w:b/>
        <w:color w:val="000000"/>
        <w:kern w:val="2"/>
        <w:sz w:val="28"/>
        <w:szCs w:val="28"/>
        <w:lang w:bidi="hi-IN"/>
      </w:rPr>
    </w:pPr>
    <w:r>
      <w:rPr>
        <w:rFonts w:eastAsia="NSimSun" w:cs="Calibri" w:cstheme="minorHAnsi"/>
        <w:b/>
        <w:color w:val="000000"/>
        <w:kern w:val="2"/>
        <w:sz w:val="28"/>
        <w:szCs w:val="28"/>
        <w:lang w:bidi="hi-IN"/>
      </w:rPr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es-E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s-E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semiHidden="1" w:unhideWhenUsed="1" w:qFormat="1"/>
    <w:lsdException w:name="heading 3" w:uiPriority="0" w:semiHidden="1" w:unhideWhenUsed="1" w:qFormat="1"/>
    <w:lsdException w:name="heading 4" w:uiPriority="0" w:semiHidden="1" w:unhideWhenUsed="1" w:qFormat="1"/>
    <w:lsdException w:name="heading 5" w:uiPriority="0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1b6d50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s-ES" w:eastAsia="en-US" w:bidi="ar-SA"/>
    </w:rPr>
  </w:style>
  <w:style w:type="paragraph" w:styleId="Heading1">
    <w:name w:val="Heading 1"/>
    <w:basedOn w:val="Normal"/>
    <w:next w:val="Normal"/>
    <w:link w:val="Ttulo1Car"/>
    <w:qFormat/>
    <w:rsid w:val="00a938e0"/>
    <w:pPr>
      <w:keepNext w:val="true"/>
      <w:suppressAutoHyphens w:val="true"/>
      <w:spacing w:lineRule="auto" w:line="240" w:before="0" w:after="0"/>
      <w:jc w:val="center"/>
      <w:textAlignment w:val="baseline"/>
      <w:outlineLvl w:val="0"/>
    </w:pPr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paragraph" w:styleId="Heading2">
    <w:name w:val="Heading 2"/>
    <w:basedOn w:val="Normal"/>
    <w:next w:val="Normal"/>
    <w:link w:val="Ttulo2Car"/>
    <w:qFormat/>
    <w:rsid w:val="00a938e0"/>
    <w:pPr>
      <w:keepNext w:val="true"/>
      <w:suppressAutoHyphens w:val="true"/>
      <w:spacing w:lineRule="auto" w:line="240" w:before="240" w:after="60"/>
      <w:textAlignment w:val="baseline"/>
      <w:outlineLvl w:val="1"/>
    </w:pPr>
    <w:rPr>
      <w:rFonts w:ascii="Cambria" w:hAnsi="Cambria" w:eastAsia="Times New Roman" w:cs="Times New Roman"/>
      <w:b/>
      <w:bCs/>
      <w:i/>
      <w:iCs/>
      <w:kern w:val="2"/>
      <w:sz w:val="28"/>
      <w:szCs w:val="28"/>
      <w:lang w:eastAsia="zh-CN"/>
    </w:rPr>
  </w:style>
  <w:style w:type="paragraph" w:styleId="Heading3">
    <w:name w:val="Heading 3"/>
    <w:basedOn w:val="Normal"/>
    <w:next w:val="Normal"/>
    <w:link w:val="Ttulo3Car"/>
    <w:qFormat/>
    <w:rsid w:val="00a938e0"/>
    <w:pPr>
      <w:keepNext w:val="true"/>
      <w:suppressAutoHyphens w:val="true"/>
      <w:spacing w:lineRule="auto" w:line="240" w:before="240" w:after="60"/>
      <w:textAlignment w:val="baseline"/>
      <w:outlineLvl w:val="2"/>
    </w:pPr>
    <w:rPr>
      <w:rFonts w:ascii="Cambria" w:hAnsi="Cambria" w:eastAsia="Times New Roman" w:cs="Times New Roman"/>
      <w:b/>
      <w:bCs/>
      <w:kern w:val="2"/>
      <w:sz w:val="26"/>
      <w:szCs w:val="26"/>
      <w:lang w:eastAsia="zh-CN"/>
    </w:rPr>
  </w:style>
  <w:style w:type="paragraph" w:styleId="Heading4">
    <w:name w:val="Heading 4"/>
    <w:basedOn w:val="Normal"/>
    <w:next w:val="Normal"/>
    <w:link w:val="Ttulo4Car"/>
    <w:qFormat/>
    <w:rsid w:val="00a938e0"/>
    <w:pPr>
      <w:keepNext w:val="true"/>
      <w:suppressAutoHyphens w:val="true"/>
      <w:spacing w:lineRule="auto" w:line="240" w:before="0" w:after="0"/>
      <w:textAlignment w:val="baseline"/>
      <w:outlineLvl w:val="3"/>
    </w:pPr>
    <w:rPr>
      <w:rFonts w:ascii="Times New Roman" w:hAnsi="Times New Roman" w:eastAsia="Times New Roman" w:cs="Times New Roman"/>
      <w:b/>
      <w:kern w:val="2"/>
      <w:szCs w:val="20"/>
      <w:lang w:eastAsia="zh-CN"/>
    </w:rPr>
  </w:style>
  <w:style w:type="paragraph" w:styleId="Heading5">
    <w:name w:val="Heading 5"/>
    <w:basedOn w:val="Normal"/>
    <w:next w:val="Normal"/>
    <w:link w:val="Ttulo5Car"/>
    <w:qFormat/>
    <w:rsid w:val="00a938e0"/>
    <w:pPr>
      <w:keepNext w:val="true"/>
      <w:suppressAutoHyphens w:val="true"/>
      <w:spacing w:lineRule="auto" w:line="240" w:before="0" w:after="0"/>
      <w:jc w:val="both"/>
      <w:textAlignment w:val="baseline"/>
      <w:outlineLvl w:val="4"/>
    </w:pPr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cabezadoCar" w:customStyle="1">
    <w:name w:val="Encabezado Car"/>
    <w:basedOn w:val="DefaultParagraphFont"/>
    <w:uiPriority w:val="99"/>
    <w:qFormat/>
    <w:rsid w:val="00a938e0"/>
    <w:rPr/>
  </w:style>
  <w:style w:type="character" w:styleId="PiedepginaCar" w:customStyle="1">
    <w:name w:val="Pie de página Car"/>
    <w:basedOn w:val="DefaultParagraphFont"/>
    <w:uiPriority w:val="99"/>
    <w:qFormat/>
    <w:rsid w:val="00a938e0"/>
    <w:rPr/>
  </w:style>
  <w:style w:type="character" w:styleId="Ttulo1Car" w:customStyle="1">
    <w:name w:val="Título 1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Ttulo2Car" w:customStyle="1">
    <w:name w:val="Título 2 Car"/>
    <w:basedOn w:val="DefaultParagraphFont"/>
    <w:qFormat/>
    <w:rsid w:val="00a938e0"/>
    <w:rPr>
      <w:rFonts w:ascii="Cambria" w:hAnsi="Cambria" w:eastAsia="Times New Roman" w:cs="Times New Roman"/>
      <w:b/>
      <w:bCs/>
      <w:i/>
      <w:iCs/>
      <w:kern w:val="2"/>
      <w:sz w:val="28"/>
      <w:szCs w:val="28"/>
      <w:lang w:eastAsia="zh-CN"/>
    </w:rPr>
  </w:style>
  <w:style w:type="character" w:styleId="Ttulo3Car" w:customStyle="1">
    <w:name w:val="Título 3 Car"/>
    <w:basedOn w:val="DefaultParagraphFont"/>
    <w:qFormat/>
    <w:rsid w:val="00a938e0"/>
    <w:rPr>
      <w:rFonts w:ascii="Cambria" w:hAnsi="Cambria" w:eastAsia="Times New Roman" w:cs="Times New Roman"/>
      <w:b/>
      <w:bCs/>
      <w:kern w:val="2"/>
      <w:sz w:val="26"/>
      <w:szCs w:val="26"/>
      <w:lang w:eastAsia="zh-CN"/>
    </w:rPr>
  </w:style>
  <w:style w:type="character" w:styleId="Ttulo4Car" w:customStyle="1">
    <w:name w:val="Título 4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Cs w:val="20"/>
      <w:lang w:eastAsia="zh-CN"/>
    </w:rPr>
  </w:style>
  <w:style w:type="character" w:styleId="Ttulo5Car" w:customStyle="1">
    <w:name w:val="Título 5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TextodegloboCar" w:customStyle="1">
    <w:name w:val="Texto de globo Car"/>
    <w:basedOn w:val="DefaultParagraphFont"/>
    <w:uiPriority w:val="99"/>
    <w:semiHidden/>
    <w:qFormat/>
    <w:rsid w:val="00bf3531"/>
    <w:rPr>
      <w:rFonts w:ascii="Segoe UI" w:hAnsi="Segoe UI" w:cs="Segoe UI"/>
      <w:sz w:val="18"/>
      <w:szCs w:val="18"/>
    </w:rPr>
  </w:style>
  <w:style w:type="character" w:styleId="InternetLink">
    <w:name w:val="Hyperlink"/>
    <w:basedOn w:val="DefaultParagraphFont"/>
    <w:uiPriority w:val="99"/>
    <w:unhideWhenUsed/>
    <w:rsid w:val="00ab01e2"/>
    <w:rPr>
      <w:color w:val="0563C1" w:themeColor="hyperlink"/>
      <w:u w:val="single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4c72f0"/>
    <w:rPr>
      <w:sz w:val="16"/>
      <w:szCs w:val="16"/>
    </w:rPr>
  </w:style>
  <w:style w:type="character" w:styleId="TextocomentarioCar" w:customStyle="1">
    <w:name w:val="Texto comentario Car"/>
    <w:basedOn w:val="DefaultParagraphFont"/>
    <w:uiPriority w:val="99"/>
    <w:semiHidden/>
    <w:qFormat/>
    <w:rsid w:val="004c72f0"/>
    <w:rPr>
      <w:sz w:val="20"/>
      <w:szCs w:val="20"/>
    </w:rPr>
  </w:style>
  <w:style w:type="character" w:styleId="AsuntodelcomentarioCar" w:customStyle="1">
    <w:name w:val="Asunto del comentario Car"/>
    <w:basedOn w:val="TextocomentarioCar"/>
    <w:uiPriority w:val="99"/>
    <w:semiHidden/>
    <w:qFormat/>
    <w:rsid w:val="004c72f0"/>
    <w:rPr>
      <w:b/>
      <w:bCs/>
      <w:sz w:val="20"/>
      <w:szCs w:val="20"/>
    </w:rPr>
  </w:style>
  <w:style w:type="character" w:styleId="TextonotapieCar" w:customStyle="1">
    <w:name w:val="Texto nota pie Car"/>
    <w:basedOn w:val="DefaultParagraphFont"/>
    <w:uiPriority w:val="99"/>
    <w:semiHidden/>
    <w:qFormat/>
    <w:rsid w:val="00b358be"/>
    <w:rPr>
      <w:sz w:val="20"/>
      <w:szCs w:val="20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b358be"/>
    <w:rPr>
      <w:vertAlign w:val="superscript"/>
    </w:rPr>
  </w:style>
  <w:style w:type="character" w:styleId="FootnoteAnchor">
    <w:name w:val="Footnote Anchor"/>
    <w:qFormat/>
    <w:rPr>
      <w:vertAlign w:val="superscript"/>
    </w:rPr>
  </w:style>
  <w:style w:type="character" w:styleId="VisitedInternetLink">
    <w:name w:val="FollowedHyperlink"/>
    <w:basedOn w:val="DefaultParagraphFont"/>
    <w:uiPriority w:val="99"/>
    <w:semiHidden/>
    <w:unhideWhenUsed/>
    <w:rsid w:val="00996024"/>
    <w:rPr>
      <w:color w:val="954F72" w:themeColor="followedHyperlink"/>
      <w:u w:val="single"/>
    </w:rPr>
  </w:style>
  <w:style w:type="character" w:styleId="EndnoteAnchor">
    <w:name w:val="Endnote Anchor"/>
    <w:qFormat/>
    <w:rPr>
      <w:vertAlign w:val="superscript"/>
    </w:rPr>
  </w:style>
  <w:style w:type="character" w:styleId="EndnoteCharacters">
    <w:name w:val="Endnote Characters"/>
    <w:qFormat/>
    <w:rPr/>
  </w:style>
  <w:style w:type="character" w:styleId="Ninguno">
    <w:name w:val="Ninguno"/>
    <w:qFormat/>
    <w:rPr>
      <w:lang w:val="en-US"/>
    </w:rPr>
  </w:style>
  <w:style w:type="character" w:styleId="Textooriginal">
    <w:name w:val="Texto original"/>
    <w:qFormat/>
    <w:rPr>
      <w:rFonts w:ascii="Liberation Mono" w:hAnsi="Liberation Mono" w:eastAsia="Liberation Mono" w:cs="Liberation Mono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tulo">
    <w:name w:val="Título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Ndice">
    <w:name w:val="Índice"/>
    <w:basedOn w:val="Normal"/>
    <w:qFormat/>
    <w:pPr>
      <w:suppressLineNumbers/>
    </w:pPr>
    <w:rPr>
      <w:rFonts w:cs="Noto Sans Devanagari"/>
    </w:rPr>
  </w:style>
  <w:style w:type="paragraph" w:styleId="Cabeceraypie">
    <w:name w:val="Cabecera y pie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EncabezadoCar"/>
    <w:uiPriority w:val="99"/>
    <w:unhideWhenUsed/>
    <w:rsid w:val="00a938e0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PiedepginaCar"/>
    <w:uiPriority w:val="99"/>
    <w:unhideWhenUsed/>
    <w:rsid w:val="00a938e0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bf3531"/>
    <w:pPr>
      <w:spacing w:before="0" w:after="160"/>
      <w:ind w:left="720" w:hanging="0"/>
      <w:contextualSpacing/>
    </w:pPr>
    <w:rPr/>
  </w:style>
  <w:style w:type="paragraph" w:styleId="BalloonText">
    <w:name w:val="Balloon Text"/>
    <w:basedOn w:val="Normal"/>
    <w:link w:val="TextodegloboCar"/>
    <w:uiPriority w:val="99"/>
    <w:semiHidden/>
    <w:unhideWhenUsed/>
    <w:qFormat/>
    <w:rsid w:val="00bf3531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Annotationtext">
    <w:name w:val="annotation text"/>
    <w:basedOn w:val="Normal"/>
    <w:link w:val="TextocomentarioCar"/>
    <w:uiPriority w:val="99"/>
    <w:semiHidden/>
    <w:unhideWhenUsed/>
    <w:qFormat/>
    <w:rsid w:val="004c72f0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AsuntodelcomentarioCar"/>
    <w:uiPriority w:val="99"/>
    <w:semiHidden/>
    <w:unhideWhenUsed/>
    <w:qFormat/>
    <w:rsid w:val="004c72f0"/>
    <w:pPr/>
    <w:rPr>
      <w:b/>
      <w:bCs/>
    </w:rPr>
  </w:style>
  <w:style w:type="paragraph" w:styleId="Footnote">
    <w:name w:val="Footnote Text"/>
    <w:basedOn w:val="Normal"/>
    <w:link w:val="TextonotapieCar"/>
    <w:uiPriority w:val="99"/>
    <w:semiHidden/>
    <w:unhideWhenUsed/>
    <w:rsid w:val="00b358be"/>
    <w:pPr>
      <w:spacing w:lineRule="auto" w:line="240" w:before="0" w:after="0"/>
    </w:pPr>
    <w:rPr>
      <w:sz w:val="20"/>
      <w:szCs w:val="20"/>
    </w:rPr>
  </w:style>
  <w:style w:type="paragraph" w:styleId="Contenidodelatabla">
    <w:name w:val="Contenido de la tabla"/>
    <w:basedOn w:val="Normal"/>
    <w:qFormat/>
    <w:pPr>
      <w:suppressLineNumbers/>
    </w:pPr>
    <w:rPr/>
  </w:style>
  <w:style w:type="paragraph" w:styleId="Ttulodelatabla">
    <w:name w:val="Título de la tabla"/>
    <w:basedOn w:val="Contenidodelatabla"/>
    <w:qFormat/>
    <w:pPr>
      <w:suppressLineNumbers/>
      <w:jc w:val="center"/>
    </w:pPr>
    <w:rPr>
      <w:b/>
      <w:bCs/>
    </w:rPr>
  </w:style>
  <w:style w:type="paragraph" w:styleId="Textopreformateado">
    <w:name w:val="Texto preformateado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">
    <w:name w:val="Table Grid"/>
    <w:basedOn w:val="Tablanormal"/>
    <w:uiPriority w:val="39"/>
    <w:rsid w:val="0032206e"/>
    <w:pPr>
      <w:spacing w:after="0" w:line="240" w:lineRule="auto"/>
    </w:pPr>
    <w:rPr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google.es/" TargetMode="External"/><Relationship Id="rId3" Type="http://schemas.openxmlformats.org/officeDocument/2006/relationships/image" Target="media/image1.png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header" Target="header2.xml"/><Relationship Id="rId7" Type="http://schemas.openxmlformats.org/officeDocument/2006/relationships/footer" Target="footer2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hyperlink" Target="https://www.unia.es/estudios-y-acceso/oferta-academica/masteres-oficiales/master-oficial-en-agroecologia-un-enfoque-para-la-sustentabilidad-rural-2" TargetMode="External"/><Relationship Id="rId12" Type="http://schemas.openxmlformats.org/officeDocument/2006/relationships/hyperlink" Target="https://www.uco.es/estudios/idep/agroecologia / https://www.upo.es/postgrado/Master-Oficial-Agroecologia-Un-Enfoque-de-Transformacion-Sustentable-de-los-Sistemas-Agroalimentarios/" TargetMode="External"/></Relationships>
</file>

<file path=word/_rels/header2.xml.rels><?xml version='1.0' encoding='UTF-8' standalone='yes'?>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4109</TotalTime>
  <Application>LibreOffice/6.4.7.2$Linux_X86_64 LibreOffice_project/40$Build-2</Application>
  <Pages>5</Pages>
  <Words>431</Words>
  <Characters>3887</Characters>
  <CharactersWithSpaces>4203</CharactersWithSpaces>
  <Paragraphs>118</Paragraphs>
  <Company>Universidad Internacional de Andalucía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2020-06-24T06:47:00Z</dcterms:created>
  <dc:creator>A.DeArriba</dc:creator>
  <dc:description/>
  <dc:language>es-ES</dc:language>
  <cp:lastModifiedBy/>
  <cp:lastPrinted>2019-03-29T12:33:00Z</cp:lastPrinted>
  <dcterms:modified xsi:type="dcterms:W3CDTF">2025-01-17T10:45:17Z</dcterms:modified>
  <cp:revision>242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Universidad Internacional de Andalucía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