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D9C" w:rsidRDefault="00D17D9C">
      <w:pPr>
        <w:rPr>
          <w:rFonts w:ascii="Calibri" w:hAnsi="Calibri" w:cs="Calibri"/>
          <w:sz w:val="48"/>
          <w:szCs w:val="48"/>
        </w:rPr>
      </w:pPr>
    </w:p>
    <w:p w:rsidR="00D17D9C" w:rsidRDefault="00D17D9C">
      <w:pPr>
        <w:pStyle w:val="Heading1"/>
        <w:tabs>
          <w:tab w:val="left" w:pos="0"/>
        </w:tabs>
        <w:rPr>
          <w:rFonts w:ascii="Calibri" w:hAnsi="Calibri" w:cs="Calibri"/>
          <w:sz w:val="48"/>
          <w:szCs w:val="48"/>
        </w:rPr>
      </w:pPr>
    </w:p>
    <w:p w:rsidR="00D17D9C" w:rsidRDefault="00D17D9C">
      <w:pPr>
        <w:pStyle w:val="Heading1"/>
        <w:tabs>
          <w:tab w:val="left" w:pos="0"/>
        </w:tabs>
        <w:rPr>
          <w:rFonts w:ascii="Calibri" w:hAnsi="Calibri" w:cs="Calibri"/>
          <w:sz w:val="48"/>
          <w:szCs w:val="48"/>
        </w:rPr>
      </w:pPr>
    </w:p>
    <w:p w:rsidR="00D17D9C" w:rsidRDefault="00BD32BD">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N – Rural Development vs. Post-Development</w:t>
        </w:r>
      </w:hyperlink>
    </w:p>
    <w:p w:rsidR="00D17D9C" w:rsidRDefault="00D17D9C">
      <w:pPr>
        <w:tabs>
          <w:tab w:val="left" w:pos="0"/>
        </w:tabs>
        <w:rPr>
          <w:rFonts w:ascii="Calibri" w:hAnsi="Calibri" w:cs="Calibri"/>
          <w:sz w:val="48"/>
          <w:szCs w:val="48"/>
        </w:rPr>
      </w:pPr>
    </w:p>
    <w:p w:rsidR="00D17D9C" w:rsidRDefault="00D17D9C">
      <w:pPr>
        <w:rPr>
          <w:rFonts w:ascii="Calibri" w:hAnsi="Calibri" w:cs="Calibri"/>
          <w:sz w:val="32"/>
          <w:szCs w:val="32"/>
        </w:rPr>
      </w:pPr>
    </w:p>
    <w:p w:rsidR="00D17D9C" w:rsidRDefault="00BD32BD">
      <w:pPr>
        <w:suppressLineNumbers/>
        <w:spacing w:after="0" w:line="240" w:lineRule="auto"/>
        <w:jc w:val="center"/>
        <w:textAlignment w:val="baseline"/>
      </w:pPr>
      <w:r>
        <w:rPr>
          <w:rFonts w:eastAsia="Calibri" w:cstheme="minorHAnsi"/>
          <w:color w:val="00000A"/>
          <w:kern w:val="2"/>
        </w:rPr>
        <w:t>Rural Development vs Post-Development</w:t>
      </w:r>
    </w:p>
    <w:p w:rsidR="00D17D9C" w:rsidRDefault="00D17D9C">
      <w:pPr>
        <w:suppressLineNumbers/>
        <w:spacing w:after="0" w:line="240" w:lineRule="auto"/>
        <w:jc w:val="center"/>
        <w:textAlignment w:val="baseline"/>
        <w:rPr>
          <w:rFonts w:ascii="Calibri" w:hAnsi="Calibri" w:cs="Calibri"/>
          <w:sz w:val="32"/>
          <w:szCs w:val="32"/>
        </w:rPr>
      </w:pPr>
    </w:p>
    <w:p w:rsidR="00D17D9C" w:rsidRDefault="00D17D9C">
      <w:pPr>
        <w:pStyle w:val="Heading1"/>
        <w:tabs>
          <w:tab w:val="left" w:pos="0"/>
        </w:tabs>
        <w:rPr>
          <w:rFonts w:ascii="Calibri" w:hAnsi="Calibri" w:cs="Calibri"/>
          <w:color w:val="FF6600"/>
          <w:sz w:val="48"/>
          <w:szCs w:val="48"/>
        </w:rPr>
      </w:pPr>
    </w:p>
    <w:p w:rsidR="00D17D9C" w:rsidRDefault="00BD32BD">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D17D9C" w:rsidRDefault="00D17D9C">
      <w:pPr>
        <w:tabs>
          <w:tab w:val="left" w:pos="0"/>
        </w:tabs>
        <w:rPr>
          <w:rFonts w:ascii="Calibri" w:hAnsi="Calibri" w:cs="Calibri"/>
          <w:color w:val="70AD47"/>
          <w:sz w:val="48"/>
          <w:szCs w:val="48"/>
        </w:rPr>
      </w:pPr>
    </w:p>
    <w:p w:rsidR="00D17D9C" w:rsidRDefault="00BD32BD">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D17D9C" w:rsidRDefault="00D17D9C">
      <w:pPr>
        <w:spacing w:before="480" w:line="312" w:lineRule="auto"/>
        <w:ind w:left="360"/>
        <w:jc w:val="center"/>
        <w:rPr>
          <w:rFonts w:cstheme="minorHAnsi"/>
          <w:b/>
          <w:sz w:val="24"/>
          <w:szCs w:val="24"/>
        </w:rPr>
      </w:pPr>
    </w:p>
    <w:p w:rsidR="00D17D9C" w:rsidRDefault="00D17D9C">
      <w:pPr>
        <w:spacing w:before="480" w:line="312" w:lineRule="auto"/>
        <w:ind w:left="360"/>
        <w:jc w:val="center"/>
        <w:rPr>
          <w:rFonts w:cstheme="minorHAnsi"/>
          <w:b/>
          <w:sz w:val="24"/>
          <w:szCs w:val="24"/>
        </w:rPr>
      </w:pPr>
    </w:p>
    <w:p w:rsidR="00D17D9C" w:rsidRDefault="00D17D9C">
      <w:pPr>
        <w:spacing w:before="480" w:line="312" w:lineRule="auto"/>
        <w:ind w:left="360"/>
        <w:jc w:val="center"/>
        <w:rPr>
          <w:rFonts w:cstheme="minorHAnsi"/>
          <w:b/>
          <w:sz w:val="24"/>
          <w:szCs w:val="24"/>
        </w:rPr>
      </w:pPr>
    </w:p>
    <w:p w:rsidR="00D17D9C" w:rsidRDefault="00D17D9C">
      <w:pPr>
        <w:spacing w:before="480" w:line="312" w:lineRule="auto"/>
        <w:ind w:left="360"/>
        <w:jc w:val="center"/>
        <w:rPr>
          <w:rFonts w:cstheme="minorHAnsi"/>
          <w:b/>
          <w:sz w:val="24"/>
          <w:szCs w:val="24"/>
        </w:rPr>
      </w:pPr>
    </w:p>
    <w:p w:rsidR="00D17D9C" w:rsidRDefault="00D17D9C">
      <w:pPr>
        <w:spacing w:before="480" w:line="312" w:lineRule="auto"/>
        <w:ind w:left="360"/>
        <w:jc w:val="center"/>
        <w:rPr>
          <w:rFonts w:cstheme="minorHAnsi"/>
          <w:b/>
          <w:sz w:val="24"/>
          <w:szCs w:val="24"/>
        </w:rPr>
      </w:pPr>
    </w:p>
    <w:p w:rsidR="00D17D9C" w:rsidRDefault="00D17D9C">
      <w:pPr>
        <w:spacing w:before="480" w:line="312" w:lineRule="auto"/>
        <w:ind w:left="360"/>
        <w:jc w:val="center"/>
        <w:rPr>
          <w:rFonts w:cstheme="minorHAnsi"/>
          <w:b/>
          <w:sz w:val="24"/>
          <w:szCs w:val="24"/>
        </w:rPr>
      </w:pPr>
    </w:p>
    <w:p w:rsidR="00D17D9C" w:rsidRDefault="00BD32BD">
      <w:pPr>
        <w:spacing w:before="480" w:line="312" w:lineRule="auto"/>
        <w:jc w:val="center"/>
        <w:rPr>
          <w:rFonts w:cstheme="minorHAnsi"/>
          <w:b/>
          <w:sz w:val="24"/>
          <w:szCs w:val="24"/>
        </w:rPr>
      </w:pPr>
      <w:r>
        <w:rPr>
          <w:rFonts w:eastAsia="Arial" w:cstheme="minorHAnsi"/>
          <w:b/>
          <w:sz w:val="24"/>
          <w:szCs w:val="24"/>
        </w:rPr>
        <w:t>INSTRUCTIONS FOR PREPARING AND PROCESSING TEACHING GUIDES FOR COURSES</w:t>
      </w:r>
    </w:p>
    <w:p w:rsidR="00D17D9C" w:rsidRDefault="00D17D9C">
      <w:pPr>
        <w:pStyle w:val="ListParagraph"/>
        <w:spacing w:before="120" w:after="120" w:line="312" w:lineRule="auto"/>
        <w:ind w:left="360"/>
        <w:rPr>
          <w:rFonts w:eastAsia="Arial" w:cstheme="minorHAnsi"/>
        </w:rPr>
      </w:pPr>
    </w:p>
    <w:p w:rsidR="00D17D9C" w:rsidRDefault="00D17D9C">
      <w:pPr>
        <w:pStyle w:val="ListParagraph"/>
        <w:spacing w:before="120" w:after="120" w:line="312" w:lineRule="auto"/>
        <w:ind w:left="360"/>
        <w:rPr>
          <w:rFonts w:ascii="Calibri" w:hAnsi="Calibri" w:cs="Calibri"/>
          <w:color w:val="70AD47"/>
          <w:sz w:val="48"/>
          <w:szCs w:val="48"/>
        </w:rPr>
        <w:sectPr w:rsidR="00D17D9C">
          <w:headerReference w:type="default" r:id="rId8"/>
          <w:footerReference w:type="default" r:id="rId9"/>
          <w:pgSz w:w="11906" w:h="16838"/>
          <w:pgMar w:top="1717" w:right="1701" w:bottom="1417" w:left="1701" w:header="1417" w:footer="708" w:gutter="0"/>
          <w:cols w:space="720"/>
          <w:formProt w:val="0"/>
          <w:docGrid w:linePitch="360" w:charSpace="4096"/>
        </w:sectPr>
      </w:pPr>
    </w:p>
    <w:p w:rsidR="00D17D9C" w:rsidRDefault="00D17D9C">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D17D9C">
        <w:tc>
          <w:tcPr>
            <w:tcW w:w="2445" w:type="dxa"/>
            <w:tcBorders>
              <w:top w:val="single" w:sz="4" w:space="0" w:color="000000"/>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D17D9C">
        <w:tc>
          <w:tcPr>
            <w:tcW w:w="2445" w:type="dxa"/>
            <w:tcBorders>
              <w:top w:val="single" w:sz="4" w:space="0" w:color="000000"/>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D17D9C">
        <w:tc>
          <w:tcPr>
            <w:tcW w:w="2445" w:type="dxa"/>
            <w:tcBorders>
              <w:top w:val="single" w:sz="4" w:space="0" w:color="000000"/>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pPr>
            <w:r>
              <w:rPr>
                <w:rFonts w:eastAsia="Calibri" w:cstheme="minorHAnsi"/>
                <w:color w:val="00000A"/>
                <w:kern w:val="2"/>
              </w:rPr>
              <w:t>Rural Development vs Post-Development</w:t>
            </w:r>
          </w:p>
          <w:p w:rsidR="00D17D9C" w:rsidRDefault="00D17D9C">
            <w:pPr>
              <w:widowControl w:val="0"/>
              <w:suppressLineNumbers/>
              <w:spacing w:after="0" w:line="240" w:lineRule="auto"/>
              <w:contextualSpacing/>
              <w:textAlignment w:val="baseline"/>
            </w:pPr>
          </w:p>
        </w:tc>
      </w:tr>
      <w:tr w:rsidR="00D17D9C">
        <w:tc>
          <w:tcPr>
            <w:tcW w:w="2445" w:type="dxa"/>
            <w:tcBorders>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N - Rural Development vs Post-Development</w:t>
            </w:r>
          </w:p>
        </w:tc>
      </w:tr>
      <w:tr w:rsidR="00D17D9C">
        <w:tc>
          <w:tcPr>
            <w:tcW w:w="2445" w:type="dxa"/>
            <w:tcBorders>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D17D9C">
        <w:tc>
          <w:tcPr>
            <w:tcW w:w="2445" w:type="dxa"/>
            <w:tcBorders>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Optional</w:t>
            </w:r>
          </w:p>
        </w:tc>
      </w:tr>
      <w:tr w:rsidR="00D17D9C">
        <w:tc>
          <w:tcPr>
            <w:tcW w:w="2445" w:type="dxa"/>
            <w:tcBorders>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D17D9C" w:rsidRDefault="00BD32BD">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D17D9C" w:rsidRDefault="00BD32BD">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7D9C" w:rsidRDefault="00BD32BD">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D17D9C">
        <w:tc>
          <w:tcPr>
            <w:tcW w:w="2445" w:type="dxa"/>
            <w:tcBorders>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D17D9C">
        <w:tc>
          <w:tcPr>
            <w:tcW w:w="2445" w:type="dxa"/>
            <w:tcBorders>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21 to 25 April 2025</w:t>
            </w:r>
          </w:p>
        </w:tc>
      </w:tr>
      <w:tr w:rsidR="00D17D9C">
        <w:tc>
          <w:tcPr>
            <w:tcW w:w="2445" w:type="dxa"/>
            <w:tcBorders>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D17D9C">
        <w:trPr>
          <w:trHeight w:val="704"/>
        </w:trPr>
        <w:tc>
          <w:tcPr>
            <w:tcW w:w="2445" w:type="dxa"/>
            <w:tcBorders>
              <w:left w:val="single" w:sz="4" w:space="0" w:color="000000"/>
              <w:bottom w:val="single" w:sz="4" w:space="0" w:color="000000"/>
            </w:tcBorders>
            <w:shd w:val="clear" w:color="auto" w:fill="92D050"/>
            <w:vAlign w:val="center"/>
          </w:tcPr>
          <w:p w:rsidR="00D17D9C" w:rsidRDefault="00BD32BD">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D17D9C">
        <w:tc>
          <w:tcPr>
            <w:tcW w:w="2445" w:type="dxa"/>
            <w:tcBorders>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D17D9C" w:rsidRDefault="00BD32BD">
            <w:pPr>
              <w:widowControl w:val="0"/>
              <w:spacing w:after="0" w:line="240" w:lineRule="auto"/>
              <w:contextualSpacing/>
            </w:pPr>
            <w:r>
              <w:rPr>
                <w:rFonts w:eastAsia="Calibri" w:cstheme="minorHAnsi"/>
                <w:color w:val="00000A"/>
              </w:rPr>
              <w:t>Spanish</w:t>
            </w:r>
          </w:p>
          <w:p w:rsidR="00D17D9C" w:rsidRDefault="00D17D9C">
            <w:pPr>
              <w:widowControl w:val="0"/>
              <w:spacing w:after="0" w:line="240" w:lineRule="auto"/>
              <w:contextualSpacing/>
            </w:pPr>
          </w:p>
        </w:tc>
      </w:tr>
    </w:tbl>
    <w:p w:rsidR="00D17D9C" w:rsidRDefault="00D17D9C">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D17D9C">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17D9C" w:rsidRDefault="00BD32BD">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D17D9C">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D17D9C" w:rsidRDefault="00BD32BD">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D17D9C">
        <w:tc>
          <w:tcPr>
            <w:tcW w:w="3714" w:type="dxa"/>
            <w:tcBorders>
              <w:left w:val="single" w:sz="4" w:space="0" w:color="000000"/>
              <w:bottom w:val="single" w:sz="4" w:space="0" w:color="000000"/>
              <w:right w:val="single" w:sz="4" w:space="0" w:color="000000"/>
            </w:tcBorders>
            <w:shd w:val="clear" w:color="auto" w:fill="FFFFFF" w:themeFill="background1"/>
          </w:tcPr>
          <w:p w:rsidR="00D17D9C" w:rsidRDefault="00BD32BD">
            <w:pPr>
              <w:widowControl w:val="0"/>
              <w:snapToGrid w:val="0"/>
              <w:spacing w:after="0" w:line="240" w:lineRule="auto"/>
              <w:contextualSpacing/>
            </w:pPr>
            <w:r>
              <w:rPr>
                <w:rFonts w:eastAsia="Times New Roman" w:cstheme="minorHAnsi"/>
              </w:rPr>
              <w:t>María de África Jiménez Ruíz</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D17D9C" w:rsidRDefault="00BD32BD">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D17D9C" w:rsidRDefault="00BD32BD">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D17D9C" w:rsidRDefault="00BD32BD">
            <w:pPr>
              <w:widowControl w:val="0"/>
              <w:snapToGrid w:val="0"/>
              <w:spacing w:after="0" w:line="240" w:lineRule="auto"/>
              <w:contextualSpacing/>
              <w:jc w:val="right"/>
            </w:pPr>
            <w:r>
              <w:rPr>
                <w:rFonts w:cstheme="minorHAnsi"/>
              </w:rPr>
              <w:t>0.80</w:t>
            </w:r>
          </w:p>
        </w:tc>
      </w:tr>
    </w:tbl>
    <w:p w:rsidR="00D17D9C" w:rsidRDefault="00D17D9C">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D17D9C">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17D9C" w:rsidRDefault="00BD32BD">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D17D9C">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D17D9C" w:rsidRDefault="00BD32BD">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D17D9C">
        <w:tc>
          <w:tcPr>
            <w:tcW w:w="3709" w:type="dxa"/>
            <w:tcBorders>
              <w:left w:val="single" w:sz="4" w:space="0" w:color="000000"/>
              <w:bottom w:val="single" w:sz="4" w:space="0" w:color="000000"/>
              <w:right w:val="single" w:sz="4" w:space="0" w:color="000000"/>
            </w:tcBorders>
            <w:shd w:val="clear" w:color="auto" w:fill="FFFFFF" w:themeFill="background1"/>
          </w:tcPr>
          <w:p w:rsidR="00D17D9C" w:rsidRDefault="00BD32BD">
            <w:pPr>
              <w:widowControl w:val="0"/>
              <w:snapToGrid w:val="0"/>
              <w:spacing w:after="0" w:line="240" w:lineRule="auto"/>
              <w:contextualSpacing/>
            </w:pPr>
            <w:r>
              <w:rPr>
                <w:rFonts w:eastAsia="Times New Roman" w:cstheme="minorHAnsi"/>
              </w:rPr>
              <w:t>José María Egea Fernández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D17D9C" w:rsidRDefault="00BD32BD">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D17D9C" w:rsidRDefault="00BD32BD">
            <w:pPr>
              <w:widowControl w:val="0"/>
              <w:snapToGrid w:val="0"/>
              <w:spacing w:after="0" w:line="240" w:lineRule="auto"/>
              <w:contextualSpacing/>
              <w:jc w:val="right"/>
            </w:pPr>
            <w:r>
              <w:rPr>
                <w:rFonts w:cstheme="minorHAnsi"/>
              </w:rPr>
              <w:t>UNIVERSITY OF MURCIA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D17D9C" w:rsidRDefault="00BD32BD">
            <w:pPr>
              <w:widowControl w:val="0"/>
              <w:snapToGrid w:val="0"/>
              <w:spacing w:after="0" w:line="240" w:lineRule="auto"/>
              <w:contextualSpacing/>
              <w:jc w:val="right"/>
            </w:pPr>
            <w:r>
              <w:rPr>
                <w:rFonts w:cstheme="minorHAnsi"/>
              </w:rPr>
              <w:t>0.40</w:t>
            </w:r>
          </w:p>
        </w:tc>
      </w:tr>
      <w:tr w:rsidR="00D17D9C">
        <w:tc>
          <w:tcPr>
            <w:tcW w:w="3709" w:type="dxa"/>
            <w:tcBorders>
              <w:left w:val="single" w:sz="4" w:space="0" w:color="000000"/>
              <w:bottom w:val="single" w:sz="4" w:space="0" w:color="000000"/>
              <w:right w:val="single" w:sz="4" w:space="0" w:color="000000"/>
            </w:tcBorders>
            <w:shd w:val="clear" w:color="auto" w:fill="FFFFFF" w:themeFill="background1"/>
          </w:tcPr>
          <w:p w:rsidR="00D17D9C" w:rsidRDefault="00BD32BD">
            <w:pPr>
              <w:widowControl w:val="0"/>
              <w:snapToGrid w:val="0"/>
              <w:spacing w:after="0" w:line="240" w:lineRule="auto"/>
              <w:contextualSpacing/>
            </w:pPr>
            <w:r>
              <w:rPr>
                <w:rFonts w:eastAsia="Times New Roman" w:cstheme="minorHAnsi"/>
              </w:rPr>
              <w:t>María de África Jiménez Ruíz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D17D9C" w:rsidRDefault="00BD32BD">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D17D9C" w:rsidRDefault="00BD32BD">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D17D9C" w:rsidRDefault="00BD32BD">
            <w:pPr>
              <w:widowControl w:val="0"/>
              <w:snapToGrid w:val="0"/>
              <w:spacing w:after="0" w:line="240" w:lineRule="auto"/>
              <w:contextualSpacing/>
              <w:jc w:val="right"/>
            </w:pPr>
            <w:r>
              <w:rPr>
                <w:rFonts w:cstheme="minorHAnsi"/>
              </w:rPr>
              <w:t>0.80</w:t>
            </w:r>
          </w:p>
        </w:tc>
      </w:tr>
      <w:tr w:rsidR="00D17D9C">
        <w:tc>
          <w:tcPr>
            <w:tcW w:w="3709" w:type="dxa"/>
            <w:tcBorders>
              <w:left w:val="single" w:sz="4" w:space="0" w:color="000000"/>
              <w:bottom w:val="single" w:sz="4" w:space="0" w:color="000000"/>
              <w:right w:val="single" w:sz="4" w:space="0" w:color="000000"/>
            </w:tcBorders>
            <w:shd w:val="clear" w:color="auto" w:fill="FFFFFF" w:themeFill="background1"/>
          </w:tcPr>
          <w:p w:rsidR="00D17D9C" w:rsidRDefault="00BD32BD">
            <w:pPr>
              <w:widowControl w:val="0"/>
              <w:snapToGrid w:val="0"/>
              <w:spacing w:after="0" w:line="240" w:lineRule="auto"/>
              <w:contextualSpacing/>
            </w:pPr>
            <w:r>
              <w:rPr>
                <w:rFonts w:eastAsia="Times New Roman" w:cstheme="minorHAnsi"/>
              </w:rPr>
              <w:t xml:space="preserve">Jessica Milgroom </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D17D9C" w:rsidRDefault="00BD32BD">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D17D9C" w:rsidRDefault="00BD32BD">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D17D9C" w:rsidRDefault="00BD32BD">
            <w:pPr>
              <w:widowControl w:val="0"/>
              <w:snapToGrid w:val="0"/>
              <w:spacing w:after="0" w:line="240" w:lineRule="auto"/>
              <w:contextualSpacing/>
              <w:jc w:val="right"/>
            </w:pPr>
            <w:r>
              <w:rPr>
                <w:rFonts w:cstheme="minorHAnsi"/>
              </w:rPr>
              <w:t>1.00</w:t>
            </w:r>
          </w:p>
        </w:tc>
      </w:tr>
      <w:tr w:rsidR="00D17D9C">
        <w:tc>
          <w:tcPr>
            <w:tcW w:w="3709" w:type="dxa"/>
            <w:tcBorders>
              <w:left w:val="single" w:sz="4" w:space="0" w:color="000000"/>
              <w:bottom w:val="single" w:sz="4" w:space="0" w:color="000000"/>
              <w:right w:val="single" w:sz="4" w:space="0" w:color="000000"/>
            </w:tcBorders>
            <w:shd w:val="clear" w:color="auto" w:fill="FFFFFF" w:themeFill="background1"/>
          </w:tcPr>
          <w:p w:rsidR="00D17D9C" w:rsidRDefault="00BD32BD">
            <w:pPr>
              <w:widowControl w:val="0"/>
              <w:snapToGrid w:val="0"/>
              <w:spacing w:after="0" w:line="240" w:lineRule="auto"/>
              <w:contextualSpacing/>
            </w:pPr>
            <w:r>
              <w:rPr>
                <w:rFonts w:eastAsia="Times New Roman" w:cstheme="minorHAnsi"/>
              </w:rPr>
              <w:t xml:space="preserve">Silvia Pérez-Vitoria </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D17D9C" w:rsidRDefault="00BD32BD">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D17D9C" w:rsidRDefault="00BD32BD">
            <w:pPr>
              <w:widowControl w:val="0"/>
              <w:snapToGrid w:val="0"/>
              <w:spacing w:after="0" w:line="240" w:lineRule="auto"/>
              <w:contextualSpacing/>
              <w:jc w:val="right"/>
            </w:pPr>
            <w:r>
              <w:rPr>
                <w:rFonts w:cstheme="minorHAnsi"/>
              </w:rPr>
              <w:t>LA LIGNE DHORIZON</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D17D9C" w:rsidRDefault="00BD32BD">
            <w:pPr>
              <w:widowControl w:val="0"/>
              <w:snapToGrid w:val="0"/>
              <w:spacing w:after="0" w:line="240" w:lineRule="auto"/>
              <w:contextualSpacing/>
              <w:jc w:val="right"/>
            </w:pPr>
            <w:r>
              <w:rPr>
                <w:rFonts w:cstheme="minorHAnsi"/>
              </w:rPr>
              <w:t>0.80</w:t>
            </w:r>
          </w:p>
        </w:tc>
      </w:tr>
      <w:tr w:rsidR="00D17D9C">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D17D9C">
        <w:tc>
          <w:tcPr>
            <w:tcW w:w="9806" w:type="dxa"/>
            <w:gridSpan w:val="4"/>
            <w:tcBorders>
              <w:left w:val="single" w:sz="4" w:space="0" w:color="000000"/>
              <w:bottom w:val="single" w:sz="4" w:space="0" w:color="000000"/>
              <w:right w:val="single" w:sz="4" w:space="0" w:color="000000"/>
            </w:tcBorders>
            <w:shd w:val="clear" w:color="auto" w:fill="FFFFFF" w:themeFill="background1"/>
          </w:tcPr>
          <w:p w:rsidR="00D17D9C" w:rsidRDefault="00BD32BD">
            <w:pPr>
              <w:widowControl w:val="0"/>
              <w:contextualSpacing/>
              <w:rPr>
                <w:rFonts w:eastAsia="NSimSun" w:cstheme="minorHAnsi"/>
                <w:b/>
                <w:color w:val="000000"/>
                <w:kern w:val="2"/>
                <w:lang w:eastAsia="zh-CN" w:bidi="hi-IN"/>
              </w:rPr>
            </w:pPr>
            <w:r>
              <w:lastRenderedPageBreak/>
              <w:t xml:space="preserve">Tutorials/seminars: Wednesday and Thursday afternoons: 5pm-7.30pm </w:t>
            </w:r>
            <w:r>
              <w:br/>
            </w:r>
            <w:r>
              <w:br/>
            </w:r>
            <w:r>
              <w:t>Teaching staff office</w:t>
            </w:r>
          </w:p>
        </w:tc>
      </w:tr>
    </w:tbl>
    <w:p w:rsidR="00D17D9C" w:rsidRDefault="00D17D9C">
      <w:pPr>
        <w:widowControl w:val="0"/>
        <w:ind w:hanging="567"/>
        <w:contextualSpacing/>
        <w:rPr>
          <w:rFonts w:eastAsia="NSimSun" w:cstheme="minorHAnsi"/>
          <w:b/>
          <w:color w:val="000000"/>
          <w:kern w:val="2"/>
          <w:lang w:eastAsia="zh-CN" w:bidi="hi-IN"/>
        </w:rPr>
      </w:pPr>
    </w:p>
    <w:p w:rsidR="00D17D9C" w:rsidRDefault="00D17D9C">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D17D9C">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D17D9C">
        <w:tc>
          <w:tcPr>
            <w:tcW w:w="3682" w:type="dxa"/>
            <w:tcBorders>
              <w:left w:val="single" w:sz="4" w:space="0" w:color="000000"/>
              <w:bottom w:val="single" w:sz="4" w:space="0" w:color="000000"/>
            </w:tcBorders>
            <w:shd w:val="clear" w:color="auto" w:fill="92D050"/>
          </w:tcPr>
          <w:p w:rsidR="00D17D9C" w:rsidRDefault="00BD32BD">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t>Understand the modernisation processes developed and imposed in rural areas during the 20th century as a result of different rural development paradigms; the environmental, ecological, social, economic, cultural and political impacts that these hegemonic r</w:t>
            </w:r>
            <w:r>
              <w:t>ural development paradigms have generated in different territories from a transnational and global perspective; the theoretical proposals subordinate to the hegemonic paradigms of rural development: post-development, Good Living, ecological economics, femi</w:t>
            </w:r>
            <w:r>
              <w:t>nist economics and agroecological social transition; experiences and realities in which subordinate approaches have been applied; recognises the progress and debates that have taken place in different territories around these paradigms, as well as the impo</w:t>
            </w:r>
            <w:r>
              <w:t>rtance of peasant movements in designing alternatives to conventional rural development.</w:t>
            </w:r>
            <w:r>
              <w:br/>
            </w:r>
            <w:r>
              <w:br/>
            </w:r>
          </w:p>
        </w:tc>
      </w:tr>
      <w:tr w:rsidR="00D17D9C">
        <w:tc>
          <w:tcPr>
            <w:tcW w:w="3682" w:type="dxa"/>
            <w:tcBorders>
              <w:left w:val="single" w:sz="4" w:space="0" w:color="000000"/>
              <w:bottom w:val="single" w:sz="4" w:space="0" w:color="000000"/>
            </w:tcBorders>
            <w:shd w:val="clear" w:color="auto" w:fill="92D050"/>
          </w:tcPr>
          <w:p w:rsidR="00D17D9C" w:rsidRDefault="00BD32BD">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t>Have a critical awareness of the dominant rural development model and the guidelines shared between the different theoretical approaches applied to rur</w:t>
            </w:r>
            <w:r>
              <w:t>al development.</w:t>
            </w:r>
            <w:r>
              <w:br/>
            </w:r>
            <w:r>
              <w:t>Detect and analyse the main features of different rural development models; communicate orally and in writing in one's own language using the terminology and techniques accepted in the scientific community for communicative interaction with</w:t>
            </w:r>
            <w:r>
              <w:t xml:space="preserve"> local knowledge and in order to convey proposals for promoting agroecological development processes in a comprehensible and coherent manner.</w:t>
            </w:r>
            <w:r>
              <w:br/>
            </w:r>
            <w:r>
              <w:br/>
            </w:r>
          </w:p>
        </w:tc>
      </w:tr>
      <w:tr w:rsidR="00D17D9C">
        <w:tc>
          <w:tcPr>
            <w:tcW w:w="3682" w:type="dxa"/>
            <w:tcBorders>
              <w:left w:val="single" w:sz="4" w:space="0" w:color="000000"/>
              <w:bottom w:val="single" w:sz="4" w:space="0" w:color="000000"/>
            </w:tcBorders>
            <w:shd w:val="clear" w:color="auto" w:fill="92D050"/>
          </w:tcPr>
          <w:p w:rsidR="00D17D9C" w:rsidRDefault="00BD32BD">
            <w:pPr>
              <w:widowControl w:val="0"/>
              <w:suppressLineNumbers/>
              <w:spacing w:after="0" w:line="240" w:lineRule="auto"/>
              <w:contextualSpacing/>
              <w:textAlignment w:val="baseline"/>
            </w:pPr>
            <w:r>
              <w:t>Skills</w:t>
            </w:r>
          </w:p>
        </w:tc>
        <w:tc>
          <w:tcPr>
            <w:tcW w:w="6124" w:type="dxa"/>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t>Combines a holistic and generalist approach to reflection and analysis with specialised and practical an</w:t>
            </w:r>
            <w:r>
              <w:t xml:space="preserve">alysis for action; constructs innovative and creative proposals, applicable to a territory, inspired by theoretical frameworks subordinate to rural development. </w:t>
            </w:r>
            <w:r>
              <w:br/>
            </w:r>
            <w:r>
              <w:t>Uses participatory tools in the development of local development plans, in all their phases: d</w:t>
            </w:r>
            <w:r>
              <w:t>iagnosis, proposal development, planning and management of the entire process.</w:t>
            </w:r>
            <w:r>
              <w:br/>
            </w:r>
            <w:r>
              <w:br/>
            </w:r>
          </w:p>
        </w:tc>
      </w:tr>
    </w:tbl>
    <w:p w:rsidR="00D17D9C" w:rsidRDefault="00D17D9C">
      <w:pPr>
        <w:widowControl w:val="0"/>
        <w:suppressLineNumbers/>
        <w:spacing w:after="0" w:line="240" w:lineRule="auto"/>
        <w:ind w:hanging="624"/>
        <w:contextualSpacing/>
        <w:textAlignment w:val="baseline"/>
      </w:pPr>
    </w:p>
    <w:p w:rsidR="00C638C8" w:rsidRDefault="00C638C8">
      <w:pPr>
        <w:widowControl w:val="0"/>
        <w:suppressLineNumbers/>
        <w:spacing w:after="0" w:line="240" w:lineRule="auto"/>
        <w:ind w:hanging="624"/>
        <w:contextualSpacing/>
        <w:textAlignment w:val="baseline"/>
      </w:pPr>
      <w:bookmarkStart w:id="0" w:name="_GoBack"/>
      <w:bookmarkEnd w:id="0"/>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D17D9C">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CONTENT DESCRIPTORS</w:t>
            </w:r>
          </w:p>
        </w:tc>
      </w:tr>
      <w:tr w:rsidR="00D17D9C">
        <w:tc>
          <w:tcPr>
            <w:tcW w:w="9806" w:type="dxa"/>
            <w:gridSpan w:val="5"/>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pacing w:after="0" w:line="240" w:lineRule="auto"/>
              <w:contextualSpacing/>
              <w:textAlignment w:val="baseline"/>
              <w:rPr>
                <w:rFonts w:eastAsia="NSimSun" w:cstheme="minorHAnsi"/>
                <w:color w:val="000000"/>
                <w:kern w:val="2"/>
                <w:lang w:eastAsia="zh-CN" w:bidi="hi-IN"/>
              </w:rPr>
            </w:pPr>
            <w:r>
              <w:rPr>
                <w:b/>
              </w:rPr>
              <w:t>Theoretical classes: 1. Basic concepts of development and their application to agriculture and rural societies; 2. The ecotechnocratic discourse of sustainability: development as a history of a Western belief; 3. Alternative visions and proposals for devel</w:t>
            </w:r>
            <w:r>
              <w:rPr>
                <w:b/>
              </w:rPr>
              <w:t>opment: post-development and food sovereignty; 4. Peasant agroecology; 5. Proposals and paradigms from subalternity. Practical part: 1. The territorial impacts of hegemonic paradigms of rural development. Peasantry and institutional development. 2. Subalte</w:t>
            </w:r>
            <w:r>
              <w:rPr>
                <w:b/>
              </w:rPr>
              <w:t>rn paradigms in practice: experiences and realities Guided activities: Field trip: Subbética region (Córdoba) Through this visit, we aim to identify and discuss experiences, both from the business sector and from civil society and public policy, which have</w:t>
            </w:r>
            <w:r>
              <w:rPr>
                <w:b/>
              </w:rPr>
              <w:t xml:space="preserve"> addressed processes of social transition from an agroecological perspective, applying principles of subaltern paradigms. </w:t>
            </w:r>
          </w:p>
          <w:p w:rsidR="00D17D9C" w:rsidRDefault="00D17D9C">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D17D9C" w:rsidRDefault="00D17D9C">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D17D9C">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TRAINING ACTIVITIES AND TEACHING METHODOLOGIES</w:t>
            </w:r>
          </w:p>
        </w:tc>
      </w:tr>
      <w:tr w:rsidR="00D17D9C">
        <w:tc>
          <w:tcPr>
            <w:tcW w:w="9806" w:type="dxa"/>
            <w:gridSpan w:val="5"/>
            <w:tcBorders>
              <w:left w:val="single" w:sz="4" w:space="0" w:color="000000"/>
              <w:bottom w:val="single" w:sz="4" w:space="0" w:color="000000"/>
              <w:right w:val="single" w:sz="4" w:space="0" w:color="000000"/>
            </w:tcBorders>
            <w:shd w:val="clear" w:color="auto" w:fill="auto"/>
          </w:tcPr>
          <w:p w:rsidR="00D17D9C" w:rsidRDefault="00D17D9C">
            <w:pPr>
              <w:widowControl w:val="0"/>
              <w:suppressLineNumbers/>
              <w:spacing w:after="0" w:line="240" w:lineRule="auto"/>
              <w:contextualSpacing/>
              <w:textAlignment w:val="baseline"/>
              <w:rPr>
                <w:rFonts w:eastAsia="NSimSun" w:cstheme="minorHAnsi"/>
                <w:color w:val="000000"/>
                <w:kern w:val="2"/>
                <w:lang w:eastAsia="zh-CN" w:bidi="hi-IN"/>
              </w:rPr>
            </w:pPr>
          </w:p>
          <w:p w:rsidR="00D17D9C" w:rsidRDefault="00D17D9C">
            <w:pPr>
              <w:widowControl w:val="0"/>
              <w:suppressLineNumbers/>
              <w:spacing w:after="0" w:line="240" w:lineRule="auto"/>
              <w:contextualSpacing/>
              <w:textAlignment w:val="baseline"/>
              <w:rPr>
                <w:rFonts w:eastAsia="NSimSun" w:cstheme="minorHAnsi"/>
                <w:color w:val="000000"/>
                <w:kern w:val="2"/>
                <w:lang w:eastAsia="zh-CN" w:bidi="hi-IN"/>
              </w:rPr>
            </w:pPr>
          </w:p>
        </w:tc>
      </w:tr>
      <w:tr w:rsidR="00D17D9C">
        <w:tc>
          <w:tcPr>
            <w:tcW w:w="3009" w:type="dxa"/>
            <w:tcBorders>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D17D9C" w:rsidRDefault="00BD32BD">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D17D9C" w:rsidRDefault="00BD32BD">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D17D9C">
        <w:tc>
          <w:tcPr>
            <w:tcW w:w="3009"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5</w:t>
            </w:r>
          </w:p>
        </w:tc>
      </w:tr>
      <w:tr w:rsidR="00D17D9C">
        <w:tc>
          <w:tcPr>
            <w:tcW w:w="3009"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18</w:t>
            </w:r>
          </w:p>
        </w:tc>
      </w:tr>
      <w:tr w:rsidR="00D17D9C">
        <w:tc>
          <w:tcPr>
            <w:tcW w:w="3009"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eastAsia="Times New Roman" w:cstheme="minorHAnsi"/>
              </w:rPr>
              <w:t>Field trip</w:t>
            </w:r>
          </w:p>
        </w:tc>
        <w:tc>
          <w:tcPr>
            <w:tcW w:w="2413"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cstheme="minorHAnsi"/>
              </w:rPr>
              <w:t>IN PERSON</w:t>
            </w:r>
          </w:p>
        </w:tc>
        <w:tc>
          <w:tcPr>
            <w:tcW w:w="2411"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7</w:t>
            </w:r>
          </w:p>
        </w:tc>
      </w:tr>
      <w:tr w:rsidR="00D17D9C">
        <w:tc>
          <w:tcPr>
            <w:tcW w:w="3009"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D17D9C" w:rsidRDefault="00BD32BD">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D17D9C" w:rsidRDefault="00BD32BD">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D17D9C">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D17D9C">
        <w:tc>
          <w:tcPr>
            <w:tcW w:w="9806" w:type="dxa"/>
            <w:gridSpan w:val="5"/>
            <w:tcBorders>
              <w:left w:val="single" w:sz="4" w:space="0" w:color="000000"/>
              <w:bottom w:val="single" w:sz="4" w:space="0" w:color="000000"/>
              <w:right w:val="single" w:sz="4" w:space="0" w:color="000000"/>
            </w:tcBorders>
            <w:shd w:val="clear" w:color="auto" w:fill="auto"/>
          </w:tcPr>
          <w:p w:rsidR="00D17D9C" w:rsidRDefault="00BD32BD">
            <w:pPr>
              <w:widowControl w:val="0"/>
              <w:spacing w:after="0"/>
              <w:contextualSpacing/>
              <w:rPr>
                <w:rFonts w:eastAsia="NSimSun" w:cstheme="minorHAnsi"/>
                <w:b/>
                <w:color w:val="000000"/>
                <w:kern w:val="2"/>
                <w:sz w:val="24"/>
                <w:szCs w:val="24"/>
                <w:lang w:eastAsia="zh-CN" w:bidi="hi-IN"/>
              </w:rPr>
            </w:pPr>
            <w:r>
              <w:t xml:space="preserve">The course will be assessed through an individual reflection and analysis assignment using the readings and content provided in class and on Moodle. </w:t>
            </w:r>
            <w:r>
              <w:br/>
            </w:r>
            <w:r>
              <w:t xml:space="preserve">At the end of the course, there will be a discussion and sharing of the content and main practical contributions. </w:t>
            </w:r>
            <w:r>
              <w:br/>
            </w:r>
            <w:r>
              <w:t>These assignments must be submitted before the deadline, either by email to the module coordinator or by uploading a file as an assignment in</w:t>
            </w:r>
            <w:r>
              <w:t xml:space="preserve"> the corresponding section of the course on Moodle.</w:t>
            </w:r>
          </w:p>
        </w:tc>
      </w:tr>
      <w:tr w:rsidR="00D17D9C">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D17D9C" w:rsidRDefault="00BD32BD">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D17D9C">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D17D9C" w:rsidRDefault="00BD32BD">
            <w:pPr>
              <w:widowControl w:val="0"/>
              <w:snapToGrid w:val="0"/>
              <w:spacing w:after="0" w:line="240" w:lineRule="auto"/>
              <w:contextualSpacing/>
            </w:pPr>
            <w:r>
              <w:rPr>
                <w:rFonts w:eastAsia="Times New Roman" w:cstheme="minorHAnsi"/>
              </w:rPr>
              <w:t>Completion and presentation of group work</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17D9C" w:rsidRDefault="00BD32BD">
            <w:pPr>
              <w:widowControl w:val="0"/>
              <w:snapToGrid w:val="0"/>
              <w:spacing w:after="0" w:line="240" w:lineRule="auto"/>
              <w:contextualSpacing/>
              <w:jc w:val="right"/>
            </w:pPr>
            <w:r>
              <w:rPr>
                <w:rFonts w:cstheme="minorHAnsi"/>
              </w:rPr>
              <w:t>20%</w:t>
            </w:r>
          </w:p>
        </w:tc>
      </w:tr>
      <w:tr w:rsidR="00D17D9C">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D17D9C" w:rsidRDefault="00BD32BD">
            <w:pPr>
              <w:widowControl w:val="0"/>
              <w:snapToGrid w:val="0"/>
              <w:spacing w:after="0" w:line="240" w:lineRule="auto"/>
              <w:contextualSpacing/>
            </w:pPr>
            <w:r>
              <w:rPr>
                <w:rFonts w:eastAsia="Times New Roman" w:cstheme="minorHAnsi"/>
              </w:rPr>
              <w:t>Resolution of cases, problems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17D9C" w:rsidRDefault="00BD32BD">
            <w:pPr>
              <w:widowControl w:val="0"/>
              <w:snapToGrid w:val="0"/>
              <w:spacing w:after="0" w:line="240" w:lineRule="auto"/>
              <w:contextualSpacing/>
              <w:jc w:val="right"/>
            </w:pPr>
            <w:r>
              <w:rPr>
                <w:rFonts w:cstheme="minorHAnsi"/>
              </w:rPr>
              <w:t>20</w:t>
            </w:r>
          </w:p>
        </w:tc>
      </w:tr>
      <w:tr w:rsidR="00D17D9C">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D17D9C" w:rsidRDefault="00BD32BD">
            <w:pPr>
              <w:widowControl w:val="0"/>
              <w:snapToGrid w:val="0"/>
              <w:spacing w:after="0" w:line="240" w:lineRule="auto"/>
              <w:contextualSpacing/>
            </w:pPr>
            <w:r>
              <w:rPr>
                <w:rFonts w:eastAsia="Times New Roman" w:cstheme="minorHAnsi"/>
              </w:rPr>
              <w:t>Written examinations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17D9C" w:rsidRDefault="00BD32BD">
            <w:pPr>
              <w:widowControl w:val="0"/>
              <w:snapToGrid w:val="0"/>
              <w:spacing w:after="0" w:line="240" w:lineRule="auto"/>
              <w:contextualSpacing/>
              <w:jc w:val="right"/>
            </w:pPr>
            <w:r>
              <w:rPr>
                <w:rFonts w:cstheme="minorHAnsi"/>
              </w:rPr>
              <w:t>60</w:t>
            </w:r>
          </w:p>
        </w:tc>
      </w:tr>
      <w:tr w:rsidR="00D17D9C">
        <w:tc>
          <w:tcPr>
            <w:tcW w:w="9806" w:type="dxa"/>
            <w:gridSpan w:val="5"/>
            <w:tcBorders>
              <w:left w:val="single" w:sz="4" w:space="0" w:color="000000"/>
              <w:bottom w:val="single" w:sz="4" w:space="0" w:color="000000"/>
              <w:right w:val="single" w:sz="4" w:space="0" w:color="000000"/>
            </w:tcBorders>
            <w:shd w:val="clear" w:color="auto" w:fill="CCCCCC"/>
          </w:tcPr>
          <w:p w:rsidR="00D17D9C" w:rsidRDefault="00BD32BD">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D17D9C">
        <w:tc>
          <w:tcPr>
            <w:tcW w:w="9806" w:type="dxa"/>
            <w:gridSpan w:val="5"/>
            <w:tcBorders>
              <w:left w:val="single" w:sz="4" w:space="0" w:color="000000"/>
              <w:bottom w:val="single" w:sz="4" w:space="0" w:color="000000"/>
              <w:right w:val="single" w:sz="4" w:space="0" w:color="000000"/>
            </w:tcBorders>
          </w:tcPr>
          <w:p w:rsidR="00D17D9C" w:rsidRDefault="00BD32BD">
            <w:pPr>
              <w:widowControl w:val="0"/>
              <w:spacing w:after="0"/>
              <w:contextualSpacing/>
              <w:rPr>
                <w:rFonts w:eastAsia="NSimSun" w:cstheme="minorHAnsi"/>
                <w:b/>
                <w:color w:val="000000"/>
                <w:kern w:val="2"/>
                <w:sz w:val="24"/>
                <w:szCs w:val="24"/>
                <w:lang w:eastAsia="zh-CN" w:bidi="hi-IN"/>
              </w:rPr>
            </w:pPr>
            <w:r>
              <w:t xml:space="preserve">Lectures    </w:t>
            </w:r>
            <w:r>
              <w:br/>
            </w:r>
            <w:r>
              <w:t>Group work and/or group presentations</w:t>
            </w:r>
            <w:r>
              <w:br/>
            </w:r>
            <w:r>
              <w:t>Field trips</w:t>
            </w:r>
            <w:r>
              <w:br/>
            </w:r>
            <w:r>
              <w:lastRenderedPageBreak/>
              <w:t>Case studies</w:t>
            </w:r>
            <w:r>
              <w:br/>
            </w:r>
            <w:r>
              <w:t>Study and analysis of materials and readings</w:t>
            </w:r>
            <w:r>
              <w:br/>
            </w:r>
            <w:r>
              <w:br/>
            </w:r>
          </w:p>
        </w:tc>
      </w:tr>
      <w:tr w:rsidR="00D17D9C">
        <w:tc>
          <w:tcPr>
            <w:tcW w:w="9806" w:type="dxa"/>
            <w:gridSpan w:val="5"/>
            <w:tcBorders>
              <w:left w:val="single" w:sz="4" w:space="0" w:color="000000"/>
              <w:bottom w:val="single" w:sz="4" w:space="0" w:color="000000"/>
              <w:right w:val="single" w:sz="4" w:space="0" w:color="000000"/>
            </w:tcBorders>
            <w:shd w:val="clear" w:color="auto" w:fill="CCCCCC"/>
          </w:tcPr>
          <w:p w:rsidR="00D17D9C" w:rsidRDefault="00BD32BD">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BIBLIOGRAPHY</w:t>
            </w:r>
          </w:p>
        </w:tc>
      </w:tr>
      <w:tr w:rsidR="00D17D9C">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D17D9C" w:rsidRDefault="00BD32BD">
            <w:pPr>
              <w:widowControl w:val="0"/>
              <w:spacing w:after="0"/>
              <w:contextualSpacing/>
              <w:rPr>
                <w:rFonts w:eastAsia="NSimSun" w:cstheme="minorHAnsi"/>
                <w:b/>
                <w:color w:val="000000"/>
                <w:kern w:val="2"/>
                <w:sz w:val="24"/>
                <w:szCs w:val="24"/>
                <w:lang w:eastAsia="zh-CN" w:bidi="hi-IN"/>
              </w:rPr>
            </w:pPr>
            <w:r>
              <w:t>Caporal, F. R. and Costabeber, J. A. (2002): Agroecology: A scientific and strategic approach to supporting sustainable rural development. Porto Alegre. EMATER/RS-ASCAR.</w:t>
            </w:r>
            <w:r>
              <w:br/>
            </w:r>
            <w:r>
              <w:t xml:space="preserve">Escobar, A. (1996): The invention of the Third World. Construction and reconstruction </w:t>
            </w:r>
            <w:r>
              <w:t>of development. Vitral Collection, Norma publishing group, Colombia.</w:t>
            </w:r>
            <w:r>
              <w:br/>
            </w:r>
            <w:r>
              <w:t>Guzmán Casado, G., González de Molina, M. and Sevilla Guzmán, E. (2000): Introduction to Agroecology as sustainable rural development. Ediciones Mundi-Prensa, Madrid: pp. 115–148.</w:t>
            </w:r>
            <w:r>
              <w:br/>
            </w:r>
            <w:r>
              <w:t>Herrero</w:t>
            </w:r>
            <w:r>
              <w:t>, Y.; Cembranos, F. and Pascual, M. (2011). Changing glasses to change the world. Ed. Libros en Acción: Madrid</w:t>
            </w:r>
            <w:r>
              <w:br/>
            </w:r>
            <w:r>
              <w:t>Latouche, S. (2007): The Bet on Degrowth. Ed. Icaria, Barcelona.</w:t>
            </w:r>
            <w:r>
              <w:br/>
            </w:r>
            <w:r>
              <w:t>Leff, E. (coord.) (2000): The problems of knowledge and the environmental perspe</w:t>
            </w:r>
            <w:r>
              <w:t>ctive of development. Siglo XXI editores, Mexico. Second revised edition (first edition 1986).</w:t>
            </w:r>
            <w:r>
              <w:br/>
            </w:r>
            <w:r>
              <w:t>Marsden, T. (2003): The condition of rural sustainability. Royal Van Gorcum. Assen. Netherlands.</w:t>
            </w:r>
            <w:r>
              <w:br/>
            </w:r>
            <w:r>
              <w:t>Naredo, J. M. (2006): Economic roots of ecological and social de</w:t>
            </w:r>
            <w:r>
              <w:t>terioration: beyond dogmas. Siglo XXI de España Editores, S.A. Madrid.</w:t>
            </w:r>
            <w:r>
              <w:br/>
            </w:r>
            <w:r>
              <w:t>Noorgard, R.B. (1994): Development Detrayed. The End of Development and a Coevolutionary Revisionary of the Future. Routledge. London.</w:t>
            </w:r>
            <w:r>
              <w:br/>
            </w:r>
            <w:r>
              <w:t>Partant, F. (2007): La ligne d’horizon. Essay on p</w:t>
            </w:r>
            <w:r>
              <w:t>ost-development. Ed. La Découverte. Paris (first edition: 1988).</w:t>
            </w:r>
            <w:r>
              <w:br/>
            </w:r>
            <w:r>
              <w:t>Pérez Rubio, J.A. (ed.) (2007): Sociology and development. The challenge of sustainable development. Ministry of Agriculture, Fisheries and Food. Madrid. Articles by Sevilla Guzmán, E.; Rodrí</w:t>
            </w:r>
            <w:r>
              <w:t>guez Villasante, T.; Camarero, L. and García, E.</w:t>
            </w:r>
            <w:r>
              <w:br/>
            </w:r>
            <w:r>
              <w:t>Pérez-Vitoria, S. (ed.) (2003): Défaire le développement, refaire le monde . Ed. Parangon. France. Chapter by Illich, I. (2003): "Le développement ou la corruption de l'harmonie en valeur": pp. 9–15.</w:t>
            </w:r>
            <w:r>
              <w:br/>
            </w:r>
            <w:r>
              <w:t>Pérez-V</w:t>
            </w:r>
            <w:r>
              <w:t>itoria, S. El retorno de los campesinos (The Return of the Peasants) (2005) Icaria editorial, (2010)</w:t>
            </w:r>
            <w:r>
              <w:br/>
            </w:r>
            <w:r>
              <w:t>Ploeg, J.D. (2006): El futuro Robado. Tierra, agua y lucha campesina. Instituto de Estudios Peruanos; Walir. Lima, Peru.</w:t>
            </w:r>
            <w:r>
              <w:br/>
            </w:r>
            <w:r>
              <w:t>Ploeg, J.D., Long, N. and Banks, J</w:t>
            </w:r>
            <w:r>
              <w:t xml:space="preserve">. (2002): Living Countrysides. Rural development processes in Europe: the state of the art. Elsevier Bedrejsinformatie bv. Doetinchem, Netherlands. </w:t>
            </w:r>
            <w:r>
              <w:br/>
            </w:r>
            <w:r>
              <w:t>Redclift, M. and Woodgate, G. (eds) (1997): The International Handbook of Environmental Sociology. Edward E</w:t>
            </w:r>
            <w:r>
              <w:t>lgar. Cheltenham, United Kingdom – Northampton, MA – United States. Spanish version: Redclift, M. and Woodgate, G. (coord) (2002): Sociology of the Environment. An international perspective. Editorial Mc Graw Hill. Madrid. Chapter by Sevilla Guzmán, E. and</w:t>
            </w:r>
            <w:r>
              <w:t xml:space="preserve"> Woodgate, G. (2002): "Sustainable Rural Development: from industrial agriculture to agroecology": pp.77-96. </w:t>
            </w:r>
            <w:r>
              <w:br/>
            </w:r>
            <w:r>
              <w:t>Rist, G. (2002): Development: A History of Western Belief. University Institute for Development and Cooperation, Complutense University of Madrid.</w:t>
            </w:r>
            <w:r>
              <w:t xml:space="preserve"> Ed. Catarata. Madrid.</w:t>
            </w:r>
            <w:r>
              <w:br/>
            </w:r>
            <w:r>
              <w:t>Sachs, W. (1992): The Development Dictionary: A Guide to Knowledge as Power. Zed Books, London, United Kingdom. Spanish editions available from Pratec, 1996; Lima, Peru and Agruco, 2008; Cochabamba, Bolivia.</w:t>
            </w:r>
            <w:r>
              <w:br/>
            </w:r>
            <w:r>
              <w:t xml:space="preserve">Sevilla Guzmán, E. (2005): “Agroecology and Sustainable Rural Development”. In de Aquino, A.M. and Linhares de Assis, R. (eds.): Agroecology. Principles and techniques for sustainable organic agriculture. </w:t>
            </w:r>
            <w:r>
              <w:lastRenderedPageBreak/>
              <w:t>Brasilia, DF: Embrapa Informaçao Tecnológica: 101-1</w:t>
            </w:r>
            <w:r>
              <w:t>32). There is an earlier Spanish version from 2002 entitled “Agroecología y desarrollo rural sustentable: una propuesta desde Latino América” (Agroecology and sustainable rural development: a proposal from Latin America), in Sarandón, S. (ed.) (2002): Agro</w:t>
            </w:r>
            <w:r>
              <w:t>ecología. El camino hacia una agricultura sustentable (Agroecology. The path to sustainable agriculture). La Plata: Ediciones Científicas Americanas.</w:t>
            </w:r>
            <w:r>
              <w:br/>
            </w:r>
            <w:r>
              <w:br/>
            </w:r>
          </w:p>
        </w:tc>
      </w:tr>
      <w:tr w:rsidR="00D17D9C">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D17D9C" w:rsidRDefault="00BD32BD">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D17D9C">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D17D9C" w:rsidRDefault="00D17D9C">
            <w:pPr>
              <w:widowControl w:val="0"/>
              <w:spacing w:after="0"/>
              <w:contextualSpacing/>
              <w:rPr>
                <w:rFonts w:eastAsia="NSimSun" w:cstheme="minorHAnsi"/>
                <w:b/>
                <w:color w:val="000000"/>
                <w:kern w:val="2"/>
                <w:sz w:val="24"/>
                <w:szCs w:val="24"/>
                <w:lang w:eastAsia="zh-CN" w:bidi="hi-IN"/>
              </w:rPr>
            </w:pPr>
          </w:p>
        </w:tc>
      </w:tr>
    </w:tbl>
    <w:p w:rsidR="00D17D9C" w:rsidRDefault="00D17D9C">
      <w:pPr>
        <w:pStyle w:val="TableContents"/>
        <w:jc w:val="both"/>
        <w:rPr>
          <w:rFonts w:ascii="Serif" w:hAnsi="Serif"/>
        </w:rPr>
      </w:pPr>
    </w:p>
    <w:p w:rsidR="00D17D9C" w:rsidRDefault="00BD32BD">
      <w:pPr>
        <w:pStyle w:val="TableContents"/>
        <w:jc w:val="both"/>
        <w:rPr>
          <w:rFonts w:ascii="Serif" w:hAnsi="Serif"/>
        </w:rPr>
      </w:pPr>
      <w:r>
        <w:rPr>
          <w:rFonts w:ascii="Serif" w:hAnsi="Serif"/>
          <w:color w:val="00000A"/>
          <w:sz w:val="20"/>
          <w:szCs w:val="20"/>
        </w:rPr>
        <w:t>In None, 25 April 2024.</w:t>
      </w:r>
    </w:p>
    <w:p w:rsidR="00D17D9C" w:rsidRDefault="00BD32BD">
      <w:pPr>
        <w:pStyle w:val="TableContents"/>
        <w:spacing w:line="312" w:lineRule="auto"/>
        <w:ind w:left="-567"/>
        <w:jc w:val="right"/>
        <w:rPr>
          <w:rFonts w:ascii="Serif" w:hAnsi="Serif"/>
        </w:rPr>
      </w:pPr>
      <w:r>
        <w:rPr>
          <w:rFonts w:ascii="Serif" w:hAnsi="Serif"/>
          <w:color w:val="00000A"/>
          <w:sz w:val="20"/>
          <w:szCs w:val="20"/>
        </w:rPr>
        <w:t>Signed: Gallar Hernández, David</w:t>
      </w:r>
    </w:p>
    <w:p w:rsidR="00D17D9C" w:rsidRDefault="00D17D9C">
      <w:pPr>
        <w:pStyle w:val="TableContents"/>
        <w:spacing w:line="312" w:lineRule="auto"/>
        <w:ind w:left="-567"/>
        <w:jc w:val="right"/>
        <w:rPr>
          <w:rFonts w:ascii="Serif" w:hAnsi="Serif"/>
        </w:rPr>
      </w:pPr>
    </w:p>
    <w:p w:rsidR="00D17D9C" w:rsidRDefault="00BD32BD">
      <w:pPr>
        <w:spacing w:before="120" w:after="120" w:line="312" w:lineRule="auto"/>
        <w:ind w:left="-567"/>
        <w:contextualSpacing/>
        <w:rPr>
          <w:sz w:val="10"/>
          <w:szCs w:val="10"/>
        </w:rPr>
      </w:pPr>
      <w:r>
        <w:rPr>
          <w:rFonts w:ascii="Times New Roman" w:hAnsi="Times New Roman"/>
          <w:sz w:val="10"/>
          <w:szCs w:val="10"/>
        </w:rPr>
        <w:t xml:space="preserve">            In accordance with current legislation on the protection of personal data (Regulation(EU) 2016/679 of 27 April), we inform you that the personal data you have provided will be processed by the INTERNATIONAL UNIVERSITY OF ANDALUSIA as the data c</w:t>
      </w:r>
      <w:r>
        <w:rPr>
          <w:rFonts w:ascii="Times New Roman" w:hAnsi="Times New Roman"/>
          <w:sz w:val="10"/>
          <w:szCs w:val="10"/>
        </w:rPr>
        <w:t>ontroller, with the Academic Management Department (Monasterio Santa María de las Cuevas, C / Américo Vespucio nº2. Isla de La Cartuja - 41092 - Seville), before whom you may exercise your rights of access, rectification, limitation, opposition or portabil</w:t>
      </w:r>
      <w:r>
        <w:rPr>
          <w:rFonts w:ascii="Times New Roman" w:hAnsi="Times New Roman"/>
          <w:sz w:val="10"/>
          <w:szCs w:val="10"/>
        </w:rPr>
        <w:t xml:space="preserve">ity, specifically indicating the reason for your request and attaching a copy of your identity document. The request may be made in writing on paper or by electronic means. </w:t>
      </w:r>
      <w:r>
        <w:rPr>
          <w:rFonts w:ascii="Times New Roman" w:hAnsi="Times New Roman"/>
          <w:sz w:val="10"/>
          <w:szCs w:val="10"/>
        </w:rPr>
        <w:br/>
      </w:r>
      <w:r>
        <w:rPr>
          <w:rFonts w:ascii="Times New Roman" w:hAnsi="Times New Roman"/>
          <w:sz w:val="10"/>
          <w:szCs w:val="10"/>
        </w:rPr>
        <w:br/>
        <w:t xml:space="preserve">            If you do not receive a response or your request is rejected, you may</w:t>
      </w:r>
      <w:r>
        <w:rPr>
          <w:rFonts w:ascii="Times New Roman" w:hAnsi="Times New Roman"/>
          <w:sz w:val="10"/>
          <w:szCs w:val="10"/>
        </w:rPr>
        <w:t xml:space="preserve"> contact the University's Data Protection Officer (rgpd@unia.es Tel. 954 462299) or lodge a complaint with the Spanish Data Protection Agency using the forms provided for this purpose on its website: https://sedeagpd.gob.es. </w:t>
      </w:r>
      <w:r>
        <w:rPr>
          <w:rFonts w:ascii="Times New Roman" w:hAnsi="Times New Roman"/>
          <w:sz w:val="10"/>
          <w:szCs w:val="10"/>
        </w:rPr>
        <w:br/>
      </w:r>
      <w:r>
        <w:rPr>
          <w:rFonts w:ascii="Times New Roman" w:hAnsi="Times New Roman"/>
          <w:sz w:val="10"/>
          <w:szCs w:val="10"/>
        </w:rPr>
        <w:br/>
        <w:t xml:space="preserve">            As the data contr</w:t>
      </w:r>
      <w:r>
        <w:rPr>
          <w:rFonts w:ascii="Times New Roman" w:hAnsi="Times New Roman"/>
          <w:sz w:val="10"/>
          <w:szCs w:val="10"/>
        </w:rPr>
        <w:t xml:space="preserve">oller, the University informs you that it will only process the personal data you provide for the following purposes: </w:t>
      </w:r>
      <w:r>
        <w:rPr>
          <w:rFonts w:ascii="Times New Roman" w:hAnsi="Times New Roman"/>
          <w:sz w:val="10"/>
          <w:szCs w:val="10"/>
        </w:rPr>
        <w:br/>
        <w:t xml:space="preserve">            a)    Academic and administrative management of: </w:t>
      </w:r>
      <w:r>
        <w:rPr>
          <w:rFonts w:ascii="Times New Roman" w:hAnsi="Times New Roman"/>
          <w:sz w:val="10"/>
          <w:szCs w:val="10"/>
        </w:rPr>
        <w:br/>
        <w:t xml:space="preserve">                • Participation in the admission and enrolment processes fo</w:t>
      </w:r>
      <w:r>
        <w:rPr>
          <w:rFonts w:ascii="Times New Roman" w:hAnsi="Times New Roman"/>
          <w:sz w:val="10"/>
          <w:szCs w:val="10"/>
        </w:rPr>
        <w:t xml:space="preserve">r official courses (Bachelor's, Master's and Doctorate degrees) or continuing education at the International University of Andalusia. </w:t>
      </w:r>
      <w:r>
        <w:rPr>
          <w:rFonts w:ascii="Times New Roman" w:hAnsi="Times New Roman"/>
          <w:sz w:val="10"/>
          <w:szCs w:val="10"/>
        </w:rPr>
        <w:br/>
        <w:t xml:space="preserve">                •    Enrolment and/or registration as a student in any of the official degree programmes (bachelor's, mas</w:t>
      </w:r>
      <w:r>
        <w:rPr>
          <w:rFonts w:ascii="Times New Roman" w:hAnsi="Times New Roman"/>
          <w:sz w:val="10"/>
          <w:szCs w:val="10"/>
        </w:rPr>
        <w:t xml:space="preserve">ter's and doctoral), continuing education or other academic activities offered by the International University of Andalusia. </w:t>
      </w:r>
      <w:r>
        <w:rPr>
          <w:rFonts w:ascii="Times New Roman" w:hAnsi="Times New Roman"/>
          <w:sz w:val="10"/>
          <w:szCs w:val="10"/>
        </w:rPr>
        <w:br/>
        <w:t xml:space="preserve">                • Participation in calls for scholarships and study grants from the International University of Andalusia, the Gen</w:t>
      </w:r>
      <w:r>
        <w:rPr>
          <w:rFonts w:ascii="Times New Roman" w:hAnsi="Times New Roman"/>
          <w:sz w:val="10"/>
          <w:szCs w:val="10"/>
        </w:rPr>
        <w:t xml:space="preserve">eral State Administration or the Autonomous Communities and other public or private entities. </w:t>
      </w:r>
      <w:r>
        <w:rPr>
          <w:rFonts w:ascii="Times New Roman" w:hAnsi="Times New Roman"/>
          <w:sz w:val="10"/>
          <w:szCs w:val="10"/>
        </w:rPr>
        <w:br/>
        <w:t xml:space="preserve">                • Participation in calls for national or international mobility programmes. </w:t>
      </w:r>
      <w:r>
        <w:rPr>
          <w:rFonts w:ascii="Times New Roman" w:hAnsi="Times New Roman"/>
          <w:sz w:val="10"/>
          <w:szCs w:val="10"/>
        </w:rPr>
        <w:br/>
        <w:t xml:space="preserve">                •    Obtaining and issuing official degrees, univers</w:t>
      </w:r>
      <w:r>
        <w:rPr>
          <w:rFonts w:ascii="Times New Roman" w:hAnsi="Times New Roman"/>
          <w:sz w:val="10"/>
          <w:szCs w:val="10"/>
        </w:rPr>
        <w:t xml:space="preserve">ity-specific degrees and other academic qualifications. </w:t>
      </w:r>
      <w:r>
        <w:rPr>
          <w:rFonts w:ascii="Times New Roman" w:hAnsi="Times New Roman"/>
          <w:sz w:val="10"/>
          <w:szCs w:val="10"/>
        </w:rPr>
        <w:br/>
        <w:t xml:space="preserve">            b)    Management of your participation as a student in national or international internships and training activities in institutions, companies, organisations or other centres. </w:t>
      </w:r>
      <w:r>
        <w:rPr>
          <w:rFonts w:ascii="Times New Roman" w:hAnsi="Times New Roman"/>
          <w:sz w:val="10"/>
          <w:szCs w:val="10"/>
        </w:rPr>
        <w:br/>
        <w:t xml:space="preserve">         </w:t>
      </w:r>
      <w:r>
        <w:rPr>
          <w:rFonts w:ascii="Times New Roman" w:hAnsi="Times New Roman"/>
          <w:sz w:val="10"/>
          <w:szCs w:val="10"/>
        </w:rPr>
        <w:t xml:space="preserve">   c) Use of university services such as obtaining a university card, libraries, sports activities, or others. </w:t>
      </w:r>
      <w:r>
        <w:rPr>
          <w:rFonts w:ascii="Times New Roman" w:hAnsi="Times New Roman"/>
          <w:sz w:val="10"/>
          <w:szCs w:val="10"/>
        </w:rPr>
        <w:br/>
      </w:r>
      <w:r>
        <w:rPr>
          <w:rFonts w:ascii="Times New Roman" w:hAnsi="Times New Roman"/>
          <w:sz w:val="10"/>
          <w:szCs w:val="10"/>
        </w:rPr>
        <w:br/>
        <w:t xml:space="preserve">            The University is entitled to process this data as it is necessary for the execution of the legal relationship established between </w:t>
      </w:r>
      <w:r>
        <w:rPr>
          <w:rFonts w:ascii="Times New Roman" w:hAnsi="Times New Roman"/>
          <w:sz w:val="10"/>
          <w:szCs w:val="10"/>
        </w:rPr>
        <w:t xml:space="preserve">you and the University and for the University to comply with its legal obligations established in Organic Law 6/2001 on Universities. </w:t>
      </w:r>
      <w:r>
        <w:rPr>
          <w:rFonts w:ascii="Times New Roman" w:hAnsi="Times New Roman"/>
          <w:sz w:val="10"/>
          <w:szCs w:val="10"/>
        </w:rPr>
        <w:br/>
        <w:t xml:space="preserve">            You are responsible for the accuracy of the personal data you have provided to the University and for keeping</w:t>
      </w:r>
      <w:r>
        <w:rPr>
          <w:rFonts w:ascii="Times New Roman" w:hAnsi="Times New Roman"/>
          <w:sz w:val="10"/>
          <w:szCs w:val="10"/>
        </w:rPr>
        <w:t xml:space="preserve"> it up to date. </w:t>
      </w:r>
      <w:r>
        <w:rPr>
          <w:rFonts w:ascii="Times New Roman" w:hAnsi="Times New Roman"/>
          <w:sz w:val="10"/>
          <w:szCs w:val="10"/>
        </w:rPr>
        <w:br/>
        <w:t xml:space="preserve">            The University will communicate the personal data that is essential, and never in any other case, to the following categories of recipients: </w:t>
      </w:r>
      <w:r>
        <w:rPr>
          <w:rFonts w:ascii="Times New Roman" w:hAnsi="Times New Roman"/>
          <w:sz w:val="10"/>
          <w:szCs w:val="10"/>
        </w:rPr>
        <w:br/>
        <w:t xml:space="preserve">                •    Other public administrations and bodies for the exercise of thei</w:t>
      </w:r>
      <w:r>
        <w:rPr>
          <w:rFonts w:ascii="Times New Roman" w:hAnsi="Times New Roman"/>
          <w:sz w:val="10"/>
          <w:szCs w:val="10"/>
        </w:rPr>
        <w:t>r own powers and in accordance with the purposes set out above (including, but not limited to, ministries with powers in education and science, other administrations, other universities or equivalent training centres for the management of transfers, and co</w:t>
      </w:r>
      <w:r>
        <w:rPr>
          <w:rFonts w:ascii="Times New Roman" w:hAnsi="Times New Roman"/>
          <w:sz w:val="10"/>
          <w:szCs w:val="10"/>
        </w:rPr>
        <w:t xml:space="preserve">mpanies for the purpose of work placements). </w:t>
      </w:r>
      <w:r>
        <w:rPr>
          <w:rFonts w:ascii="Times New Roman" w:hAnsi="Times New Roman"/>
          <w:sz w:val="10"/>
          <w:szCs w:val="10"/>
        </w:rPr>
        <w:br/>
        <w:t xml:space="preserve">                •    To banking institutions for the management of payments and collections. </w:t>
      </w:r>
      <w:r>
        <w:rPr>
          <w:rFonts w:ascii="Times New Roman" w:hAnsi="Times New Roman"/>
          <w:sz w:val="10"/>
          <w:szCs w:val="10"/>
        </w:rPr>
        <w:br/>
        <w:t xml:space="preserve">                •    To public or private bodies by virtue of collaboration agreements or contracts, in accordance w</w:t>
      </w:r>
      <w:r>
        <w:rPr>
          <w:rFonts w:ascii="Times New Roman" w:hAnsi="Times New Roman"/>
          <w:sz w:val="10"/>
          <w:szCs w:val="10"/>
        </w:rPr>
        <w:t xml:space="preserve">ith the provisions of current legislation on data protection. </w:t>
      </w:r>
      <w:r>
        <w:rPr>
          <w:rFonts w:ascii="Times New Roman" w:hAnsi="Times New Roman"/>
          <w:sz w:val="10"/>
          <w:szCs w:val="10"/>
        </w:rPr>
        <w:br/>
        <w:t xml:space="preserve">                • To the University's own services that are appropriate for managing the use of the university services offered. </w:t>
      </w:r>
      <w:r>
        <w:rPr>
          <w:rFonts w:ascii="Times New Roman" w:hAnsi="Times New Roman"/>
          <w:sz w:val="10"/>
          <w:szCs w:val="10"/>
        </w:rPr>
        <w:br/>
        <w:t xml:space="preserve">            Your personal data will be processed and stored by </w:t>
      </w:r>
      <w:r>
        <w:rPr>
          <w:rFonts w:ascii="Times New Roman" w:hAnsi="Times New Roman"/>
          <w:sz w:val="10"/>
          <w:szCs w:val="10"/>
        </w:rPr>
        <w:t xml:space="preserve">the University in accordance with current data protection legislation, and will then become part of the University Historical Archive, after being purged, in accordance with the provisions of the legislation on Historical Heritage. </w:t>
      </w:r>
      <w:r>
        <w:rPr>
          <w:rFonts w:ascii="Times New Roman" w:hAnsi="Times New Roman"/>
          <w:sz w:val="10"/>
          <w:szCs w:val="10"/>
        </w:rPr>
        <w:br/>
      </w:r>
      <w:r>
        <w:rPr>
          <w:rFonts w:ascii="Times New Roman" w:hAnsi="Times New Roman"/>
          <w:sz w:val="10"/>
          <w:szCs w:val="10"/>
        </w:rPr>
        <w:br/>
        <w:t xml:space="preserve">            The Univer</w:t>
      </w:r>
      <w:r>
        <w:rPr>
          <w:rFonts w:ascii="Times New Roman" w:hAnsi="Times New Roman"/>
          <w:sz w:val="10"/>
          <w:szCs w:val="10"/>
        </w:rPr>
        <w:t>sity only envisages the transfer of data to third countries in the event of your participation as a student in any of the international training programmes or scholarships. The transfer will be carried out in accordance with the guidelines established in t</w:t>
      </w:r>
      <w:r>
        <w:rPr>
          <w:rFonts w:ascii="Times New Roman" w:hAnsi="Times New Roman"/>
          <w:sz w:val="10"/>
          <w:szCs w:val="10"/>
        </w:rPr>
        <w:t xml:space="preserve">his regard by the European Data Protection Regulation and implementing regulations. </w:t>
      </w:r>
      <w:r>
        <w:rPr>
          <w:rFonts w:ascii="Times New Roman" w:hAnsi="Times New Roman"/>
          <w:sz w:val="10"/>
          <w:szCs w:val="10"/>
        </w:rPr>
        <w:br/>
        <w:t xml:space="preserve">            The Data Protection Service of the International University of Andalusia has a website that includes legislation, information and models relating to Personal D</w:t>
      </w:r>
      <w:r>
        <w:rPr>
          <w:rFonts w:ascii="Times New Roman" w:hAnsi="Times New Roman"/>
          <w:sz w:val="10"/>
          <w:szCs w:val="10"/>
        </w:rPr>
        <w:t>ata Protection, which can be accessed via the following link:  https://www.unia.es/protecciondatos</w:t>
      </w:r>
    </w:p>
    <w:sectPr w:rsidR="00D17D9C">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2BD" w:rsidRDefault="00BD32BD">
      <w:pPr>
        <w:spacing w:after="0" w:line="240" w:lineRule="auto"/>
      </w:pPr>
      <w:r>
        <w:separator/>
      </w:r>
    </w:p>
  </w:endnote>
  <w:endnote w:type="continuationSeparator" w:id="0">
    <w:p w:rsidR="00BD32BD" w:rsidRDefault="00BD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D17D9C" w:rsidRDefault="00BD32BD">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C638C8">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D17D9C" w:rsidRDefault="00BD32BD">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C638C8">
          <w:rPr>
            <w:noProof/>
            <w:sz w:val="18"/>
            <w:szCs w:val="18"/>
          </w:rPr>
          <w:t>6</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2BD" w:rsidRDefault="00BD32BD">
      <w:pPr>
        <w:spacing w:after="0" w:line="240" w:lineRule="auto"/>
      </w:pPr>
      <w:r>
        <w:separator/>
      </w:r>
    </w:p>
  </w:footnote>
  <w:footnote w:type="continuationSeparator" w:id="0">
    <w:p w:rsidR="00BD32BD" w:rsidRDefault="00BD3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D9C" w:rsidRDefault="00D17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D17D9C">
      <w:tc>
        <w:tcPr>
          <w:tcW w:w="4419" w:type="dxa"/>
          <w:shd w:val="clear" w:color="auto" w:fill="auto"/>
          <w:vAlign w:val="center"/>
        </w:tcPr>
        <w:p w:rsidR="00D17D9C" w:rsidRDefault="00BD32BD">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D17D9C" w:rsidRDefault="00BD32BD">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D17D9C" w:rsidRDefault="00D17D9C">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9C"/>
    <w:rsid w:val="00BD32BD"/>
    <w:rsid w:val="00C638C8"/>
    <w:rsid w:val="00D17D9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D191"/>
  <w15:docId w15:val="{F06843B6-4B2C-47F1-A734-B26CFB92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docId:2065118127F2570CB8A4DF472161B432</cp:keywords>
  <dc:description/>
  <cp:lastModifiedBy>georgemca20@gmail.com</cp:lastModifiedBy>
  <cp:revision>2</cp:revision>
  <cp:lastPrinted>2019-03-29T12:33:00Z</cp:lastPrinted>
  <dcterms:created xsi:type="dcterms:W3CDTF">2025-10-03T14:52:00Z</dcterms:created>
  <dcterms:modified xsi:type="dcterms:W3CDTF">2025-10-03T14:52:00Z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