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D3" w:rsidRDefault="008510D3">
      <w:pPr>
        <w:rPr>
          <w:rFonts w:ascii="Calibri" w:hAnsi="Calibri" w:cs="Calibri"/>
          <w:sz w:val="48"/>
          <w:szCs w:val="48"/>
        </w:rPr>
      </w:pPr>
      <w:bookmarkStart w:id="0" w:name="_GoBack"/>
      <w:bookmarkEnd w:id="0"/>
    </w:p>
    <w:p w:rsidR="008510D3" w:rsidRDefault="008510D3">
      <w:pPr>
        <w:pStyle w:val="Heading1"/>
        <w:tabs>
          <w:tab w:val="left" w:pos="0"/>
        </w:tabs>
        <w:rPr>
          <w:rFonts w:ascii="Calibri" w:hAnsi="Calibri" w:cs="Calibri"/>
          <w:sz w:val="48"/>
          <w:szCs w:val="48"/>
        </w:rPr>
      </w:pPr>
    </w:p>
    <w:p w:rsidR="008510D3" w:rsidRDefault="008510D3">
      <w:pPr>
        <w:pStyle w:val="Heading1"/>
        <w:tabs>
          <w:tab w:val="left" w:pos="0"/>
        </w:tabs>
        <w:rPr>
          <w:rFonts w:ascii="Calibri" w:hAnsi="Calibri" w:cs="Calibri"/>
          <w:sz w:val="48"/>
          <w:szCs w:val="48"/>
        </w:rPr>
      </w:pPr>
    </w:p>
    <w:p w:rsidR="008510D3" w:rsidRDefault="00631230">
      <w:pPr>
        <w:pStyle w:val="Heading1"/>
        <w:tabs>
          <w:tab w:val="left" w:pos="0"/>
        </w:tabs>
        <w:rPr>
          <w:rFonts w:ascii="Calibri" w:hAnsi="Calibri" w:cs="Calibri"/>
          <w:sz w:val="48"/>
          <w:szCs w:val="48"/>
        </w:rPr>
      </w:pPr>
      <w:hyperlink r:id="rId6">
        <w:r w:rsidR="002023BF">
          <w:rPr>
            <w:rFonts w:asciiTheme="minorHAnsi" w:hAnsiTheme="minorHAnsi" w:cs="Calibri"/>
            <w:sz w:val="48"/>
            <w:szCs w:val="48"/>
          </w:rPr>
          <w:t>Agroecology: An Approach to Sustainable Transformation of Agri-Food Systems – Module M – Feminist Approaches to Agroecology</w:t>
        </w:r>
      </w:hyperlink>
    </w:p>
    <w:p w:rsidR="008510D3" w:rsidRDefault="008510D3">
      <w:pPr>
        <w:tabs>
          <w:tab w:val="left" w:pos="0"/>
        </w:tabs>
        <w:rPr>
          <w:rFonts w:ascii="Calibri" w:hAnsi="Calibri" w:cs="Calibri"/>
          <w:sz w:val="48"/>
          <w:szCs w:val="48"/>
        </w:rPr>
      </w:pPr>
    </w:p>
    <w:p w:rsidR="008510D3" w:rsidRDefault="008510D3">
      <w:pPr>
        <w:rPr>
          <w:rFonts w:ascii="Calibri" w:hAnsi="Calibri" w:cs="Calibri"/>
          <w:sz w:val="32"/>
          <w:szCs w:val="32"/>
        </w:rPr>
      </w:pPr>
    </w:p>
    <w:p w:rsidR="008510D3" w:rsidRDefault="002023BF">
      <w:pPr>
        <w:suppressLineNumbers/>
        <w:spacing w:after="0" w:line="240" w:lineRule="auto"/>
        <w:jc w:val="center"/>
        <w:textAlignment w:val="baseline"/>
      </w:pPr>
      <w:r>
        <w:rPr>
          <w:rFonts w:eastAsia="Calibri" w:cstheme="minorHAnsi"/>
          <w:color w:val="00000A"/>
          <w:kern w:val="2"/>
        </w:rPr>
        <w:t>Feminist Approaches to Agroecology</w:t>
      </w:r>
    </w:p>
    <w:p w:rsidR="008510D3" w:rsidRDefault="008510D3">
      <w:pPr>
        <w:suppressLineNumbers/>
        <w:spacing w:after="0" w:line="240" w:lineRule="auto"/>
        <w:jc w:val="center"/>
        <w:textAlignment w:val="baseline"/>
        <w:rPr>
          <w:rFonts w:ascii="Calibri" w:hAnsi="Calibri" w:cs="Calibri"/>
          <w:sz w:val="32"/>
          <w:szCs w:val="32"/>
        </w:rPr>
      </w:pPr>
    </w:p>
    <w:p w:rsidR="008510D3" w:rsidRDefault="008510D3">
      <w:pPr>
        <w:pStyle w:val="Heading1"/>
        <w:tabs>
          <w:tab w:val="left" w:pos="0"/>
        </w:tabs>
        <w:rPr>
          <w:rFonts w:ascii="Calibri" w:hAnsi="Calibri" w:cs="Calibri"/>
          <w:color w:val="FF6600"/>
          <w:sz w:val="48"/>
          <w:szCs w:val="48"/>
        </w:rPr>
      </w:pPr>
    </w:p>
    <w:p w:rsidR="008510D3" w:rsidRDefault="002023BF">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8510D3" w:rsidRDefault="008510D3">
      <w:pPr>
        <w:tabs>
          <w:tab w:val="left" w:pos="0"/>
        </w:tabs>
        <w:rPr>
          <w:rFonts w:ascii="Calibri" w:hAnsi="Calibri" w:cs="Calibri"/>
          <w:color w:val="70AD47"/>
          <w:sz w:val="48"/>
          <w:szCs w:val="48"/>
        </w:rPr>
      </w:pPr>
    </w:p>
    <w:p w:rsidR="008510D3" w:rsidRDefault="002023BF">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8510D3" w:rsidRDefault="008510D3">
      <w:pPr>
        <w:spacing w:before="480" w:line="312" w:lineRule="auto"/>
        <w:ind w:left="360"/>
        <w:jc w:val="center"/>
        <w:rPr>
          <w:rFonts w:cstheme="minorHAnsi"/>
          <w:b/>
          <w:sz w:val="24"/>
          <w:szCs w:val="24"/>
        </w:rPr>
      </w:pPr>
    </w:p>
    <w:p w:rsidR="008510D3" w:rsidRDefault="008510D3">
      <w:pPr>
        <w:spacing w:before="480" w:line="312" w:lineRule="auto"/>
        <w:ind w:left="360"/>
        <w:jc w:val="center"/>
        <w:rPr>
          <w:rFonts w:cstheme="minorHAnsi"/>
          <w:b/>
          <w:sz w:val="24"/>
          <w:szCs w:val="24"/>
        </w:rPr>
      </w:pPr>
    </w:p>
    <w:p w:rsidR="008510D3" w:rsidRDefault="008510D3">
      <w:pPr>
        <w:spacing w:before="480" w:line="312" w:lineRule="auto"/>
        <w:ind w:left="360"/>
        <w:jc w:val="center"/>
        <w:rPr>
          <w:rFonts w:cstheme="minorHAnsi"/>
          <w:b/>
          <w:sz w:val="24"/>
          <w:szCs w:val="24"/>
        </w:rPr>
      </w:pPr>
    </w:p>
    <w:p w:rsidR="008510D3" w:rsidRDefault="008510D3">
      <w:pPr>
        <w:spacing w:before="480" w:line="312" w:lineRule="auto"/>
        <w:ind w:left="360"/>
        <w:jc w:val="center"/>
        <w:rPr>
          <w:rFonts w:cstheme="minorHAnsi"/>
          <w:b/>
          <w:sz w:val="24"/>
          <w:szCs w:val="24"/>
        </w:rPr>
      </w:pPr>
    </w:p>
    <w:p w:rsidR="008510D3" w:rsidRDefault="008510D3">
      <w:pPr>
        <w:spacing w:before="480" w:line="312" w:lineRule="auto"/>
        <w:ind w:left="360"/>
        <w:jc w:val="center"/>
        <w:rPr>
          <w:rFonts w:cstheme="minorHAnsi"/>
          <w:b/>
          <w:sz w:val="24"/>
          <w:szCs w:val="24"/>
        </w:rPr>
      </w:pPr>
    </w:p>
    <w:p w:rsidR="008510D3" w:rsidRDefault="008510D3">
      <w:pPr>
        <w:spacing w:before="480" w:line="312" w:lineRule="auto"/>
        <w:ind w:left="360"/>
        <w:jc w:val="center"/>
        <w:rPr>
          <w:rFonts w:cstheme="minorHAnsi"/>
          <w:b/>
          <w:sz w:val="24"/>
          <w:szCs w:val="24"/>
        </w:rPr>
      </w:pPr>
    </w:p>
    <w:p w:rsidR="008510D3" w:rsidRDefault="002023BF">
      <w:pPr>
        <w:spacing w:before="480" w:line="312" w:lineRule="auto"/>
        <w:jc w:val="center"/>
        <w:rPr>
          <w:rFonts w:cstheme="minorHAnsi"/>
          <w:b/>
          <w:sz w:val="24"/>
          <w:szCs w:val="24"/>
        </w:rPr>
      </w:pPr>
      <w:r>
        <w:rPr>
          <w:rFonts w:eastAsia="Arial" w:cstheme="minorHAnsi"/>
          <w:b/>
          <w:sz w:val="24"/>
          <w:szCs w:val="24"/>
        </w:rPr>
        <w:t>INSTRUCTIONS FOR THE PREPARATION AND PROCESSING OF COURSE GUIDES</w:t>
      </w:r>
    </w:p>
    <w:p w:rsidR="008510D3" w:rsidRDefault="008510D3">
      <w:pPr>
        <w:pStyle w:val="ListParagraph"/>
        <w:spacing w:before="120" w:after="120" w:line="312" w:lineRule="auto"/>
        <w:ind w:left="360"/>
        <w:rPr>
          <w:rFonts w:eastAsia="Arial" w:cstheme="minorHAnsi"/>
        </w:rPr>
      </w:pPr>
    </w:p>
    <w:p w:rsidR="008510D3" w:rsidRDefault="008510D3">
      <w:pPr>
        <w:pStyle w:val="ListParagraph"/>
        <w:spacing w:before="120" w:after="120" w:line="312" w:lineRule="auto"/>
        <w:ind w:left="360"/>
        <w:rPr>
          <w:rFonts w:ascii="Calibri" w:hAnsi="Calibri" w:cs="Calibri"/>
          <w:color w:val="70AD47"/>
          <w:sz w:val="48"/>
          <w:szCs w:val="48"/>
        </w:rPr>
        <w:sectPr w:rsidR="008510D3">
          <w:headerReference w:type="default" r:id="rId8"/>
          <w:footerReference w:type="default" r:id="rId9"/>
          <w:pgSz w:w="11906" w:h="16838"/>
          <w:pgMar w:top="1717" w:right="1701" w:bottom="1417" w:left="1701" w:header="1417" w:footer="708" w:gutter="0"/>
          <w:cols w:space="720"/>
          <w:formProt w:val="0"/>
          <w:docGrid w:linePitch="360" w:charSpace="4096"/>
        </w:sect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8510D3" w:rsidTr="00C40E05">
        <w:tc>
          <w:tcPr>
            <w:tcW w:w="2446" w:type="dxa"/>
            <w:tcBorders>
              <w:top w:val="single" w:sz="4" w:space="0" w:color="000000"/>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lastRenderedPageBreak/>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8510D3" w:rsidTr="00C40E05">
        <w:tc>
          <w:tcPr>
            <w:tcW w:w="2446" w:type="dxa"/>
            <w:tcBorders>
              <w:top w:val="single" w:sz="4" w:space="0" w:color="000000"/>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8510D3" w:rsidTr="00C40E05">
        <w:tc>
          <w:tcPr>
            <w:tcW w:w="2446" w:type="dxa"/>
            <w:tcBorders>
              <w:top w:val="single" w:sz="4" w:space="0" w:color="000000"/>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pPr>
            <w:r>
              <w:rPr>
                <w:rFonts w:eastAsia="Calibri" w:cstheme="minorHAnsi"/>
                <w:color w:val="00000A"/>
                <w:kern w:val="2"/>
              </w:rPr>
              <w:t>Feminist Approaches to Agroecology</w:t>
            </w:r>
          </w:p>
          <w:p w:rsidR="008510D3" w:rsidRDefault="008510D3">
            <w:pPr>
              <w:widowControl w:val="0"/>
              <w:suppressLineNumbers/>
              <w:spacing w:after="0" w:line="240" w:lineRule="auto"/>
              <w:contextualSpacing/>
              <w:textAlignment w:val="baseline"/>
            </w:pPr>
          </w:p>
        </w:tc>
      </w:tr>
      <w:tr w:rsidR="008510D3" w:rsidTr="00C40E05">
        <w:tc>
          <w:tcPr>
            <w:tcW w:w="2446"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M - Feminist Approaches to Agroecology</w:t>
            </w:r>
          </w:p>
        </w:tc>
      </w:tr>
      <w:tr w:rsidR="008510D3" w:rsidTr="00C40E05">
        <w:tc>
          <w:tcPr>
            <w:tcW w:w="2446"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8510D3" w:rsidTr="00C40E05">
        <w:tc>
          <w:tcPr>
            <w:tcW w:w="2446"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8510D3" w:rsidTr="00C40E05">
        <w:tc>
          <w:tcPr>
            <w:tcW w:w="2446"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8510D3" w:rsidTr="00C40E05">
        <w:tc>
          <w:tcPr>
            <w:tcW w:w="2446"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8510D3" w:rsidTr="00C40E05">
        <w:tc>
          <w:tcPr>
            <w:tcW w:w="2446"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3 to 7 February 2025</w:t>
            </w:r>
          </w:p>
        </w:tc>
      </w:tr>
      <w:tr w:rsidR="008510D3" w:rsidTr="00C40E05">
        <w:tc>
          <w:tcPr>
            <w:tcW w:w="2446"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8510D3" w:rsidRDefault="00631230">
            <w:pPr>
              <w:widowControl w:val="0"/>
              <w:suppressLineNumbers/>
              <w:spacing w:after="0" w:line="240" w:lineRule="auto"/>
              <w:contextualSpacing/>
              <w:textAlignment w:val="baseline"/>
              <w:rPr>
                <w:rFonts w:ascii="Calibri" w:hAnsi="Calibri" w:cs="Calibri"/>
                <w:color w:val="70AD47"/>
                <w:sz w:val="48"/>
                <w:szCs w:val="48"/>
              </w:rPr>
            </w:pPr>
            <w:hyperlink r:id="rId10">
              <w:r w:rsidR="002023BF">
                <w:t>https://www.unia.es/estudios-y-acceso/oferta-academica/masteres-oficiales/master-oficial-en-agroecologia-un-enfoque-para-la-sustentabilidad-rural-2</w:t>
              </w:r>
            </w:hyperlink>
          </w:p>
        </w:tc>
      </w:tr>
      <w:tr w:rsidR="008510D3" w:rsidTr="00C40E05">
        <w:trPr>
          <w:trHeight w:val="704"/>
        </w:trPr>
        <w:tc>
          <w:tcPr>
            <w:tcW w:w="2446" w:type="dxa"/>
            <w:tcBorders>
              <w:left w:val="single" w:sz="4" w:space="0" w:color="000000"/>
              <w:bottom w:val="single" w:sz="4" w:space="0" w:color="000000"/>
            </w:tcBorders>
            <w:shd w:val="clear" w:color="auto" w:fill="92D050"/>
            <w:vAlign w:val="center"/>
          </w:tcPr>
          <w:p w:rsidR="008510D3" w:rsidRDefault="002023BF">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8510D3" w:rsidRDefault="00631230">
            <w:pPr>
              <w:widowControl w:val="0"/>
              <w:suppressLineNumbers/>
              <w:spacing w:after="0" w:line="240" w:lineRule="auto"/>
              <w:contextualSpacing/>
              <w:textAlignment w:val="baseline"/>
            </w:pPr>
            <w:hyperlink r:id="rId11">
              <w:r w:rsidR="002023BF">
                <w:t>https://www.uco.es/estudios/idep/agroecologia / https://www.upo.es/postgrado/Master-Oficial-Agroecologia-Un-Enfoque-de-Transformacion-Sustentable-de-los-Sistemas-Agroalimentarios/</w:t>
              </w:r>
            </w:hyperlink>
          </w:p>
        </w:tc>
      </w:tr>
      <w:tr w:rsidR="008510D3" w:rsidTr="00C40E05">
        <w:tc>
          <w:tcPr>
            <w:tcW w:w="2446"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8510D3" w:rsidRDefault="002023BF">
            <w:pPr>
              <w:widowControl w:val="0"/>
              <w:spacing w:after="0" w:line="240" w:lineRule="auto"/>
              <w:contextualSpacing/>
            </w:pPr>
            <w:r>
              <w:rPr>
                <w:rFonts w:eastAsia="Calibri" w:cstheme="minorHAnsi"/>
                <w:color w:val="00000A"/>
              </w:rPr>
              <w:t>Spanish</w:t>
            </w:r>
          </w:p>
          <w:p w:rsidR="008510D3" w:rsidRDefault="008510D3">
            <w:pPr>
              <w:widowControl w:val="0"/>
              <w:spacing w:after="0" w:line="240" w:lineRule="auto"/>
              <w:contextualSpacing/>
            </w:pPr>
          </w:p>
        </w:tc>
      </w:tr>
    </w:tbl>
    <w:p w:rsidR="008510D3" w:rsidRPr="00C40E05" w:rsidRDefault="008510D3">
      <w:pPr>
        <w:rPr>
          <w:sz w:val="16"/>
          <w:szCs w:val="16"/>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8510D3">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510D3" w:rsidRDefault="002023B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8510D3">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8510D3">
        <w:tc>
          <w:tcPr>
            <w:tcW w:w="3714" w:type="dxa"/>
            <w:tcBorders>
              <w:left w:val="single" w:sz="4" w:space="0" w:color="000000"/>
              <w:bottom w:val="single" w:sz="4" w:space="0" w:color="000000"/>
              <w:right w:val="single" w:sz="4" w:space="0" w:color="000000"/>
            </w:tcBorders>
            <w:shd w:val="clear" w:color="auto" w:fill="FFFFFF" w:themeFill="background1"/>
          </w:tcPr>
          <w:p w:rsidR="008510D3" w:rsidRDefault="002023BF">
            <w:pPr>
              <w:widowControl w:val="0"/>
              <w:snapToGrid w:val="0"/>
              <w:spacing w:after="0" w:line="240" w:lineRule="auto"/>
              <w:contextualSpacing/>
            </w:pPr>
            <w:r>
              <w:rPr>
                <w:rFonts w:eastAsia="Times New Roman" w:cstheme="minorHAnsi"/>
              </w:rPr>
              <w:t>Emma Cademartori Siliprandi</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510D3" w:rsidRDefault="002023BF">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510D3" w:rsidRDefault="002023BF">
            <w:pPr>
              <w:widowControl w:val="0"/>
              <w:snapToGrid w:val="0"/>
              <w:spacing w:after="0" w:line="240" w:lineRule="auto"/>
              <w:contextualSpacing/>
              <w:jc w:val="right"/>
            </w:pPr>
            <w:r>
              <w:rPr>
                <w:rFonts w:cstheme="minorHAnsi"/>
              </w:rPr>
              <w:t>FAO (FOOD AND AGRICULTURE ORGANISATION OF THE UNITED NATIONS)</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510D3" w:rsidRDefault="002023BF">
            <w:pPr>
              <w:widowControl w:val="0"/>
              <w:snapToGrid w:val="0"/>
              <w:spacing w:after="0" w:line="240" w:lineRule="auto"/>
              <w:contextualSpacing/>
              <w:jc w:val="right"/>
            </w:pPr>
            <w:r>
              <w:rPr>
                <w:rFonts w:cstheme="minorHAnsi"/>
              </w:rPr>
              <w:t>1.50</w:t>
            </w:r>
          </w:p>
        </w:tc>
      </w:tr>
    </w:tbl>
    <w:p w:rsidR="008510D3" w:rsidRPr="00C40E05" w:rsidRDefault="008510D3">
      <w:pPr>
        <w:rPr>
          <w:rFonts w:eastAsia="Arial" w:cstheme="minorHAnsi"/>
          <w:sz w:val="16"/>
          <w:szCs w:val="16"/>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8510D3">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510D3" w:rsidRDefault="002023BF">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8510D3">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8510D3">
        <w:tc>
          <w:tcPr>
            <w:tcW w:w="3709" w:type="dxa"/>
            <w:tcBorders>
              <w:left w:val="single" w:sz="4" w:space="0" w:color="000000"/>
              <w:bottom w:val="single" w:sz="4" w:space="0" w:color="000000"/>
              <w:right w:val="single" w:sz="4" w:space="0" w:color="000000"/>
            </w:tcBorders>
            <w:shd w:val="clear" w:color="auto" w:fill="FFFFFF" w:themeFill="background1"/>
          </w:tcPr>
          <w:p w:rsidR="008510D3" w:rsidRDefault="002023BF">
            <w:pPr>
              <w:widowControl w:val="0"/>
              <w:snapToGrid w:val="0"/>
              <w:spacing w:after="0" w:line="240" w:lineRule="auto"/>
              <w:contextualSpacing/>
            </w:pPr>
            <w:r>
              <w:rPr>
                <w:rFonts w:eastAsia="Times New Roman" w:cstheme="minorHAnsi"/>
              </w:rPr>
              <w:t>Emma Cademartori Siliprandi</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510D3" w:rsidRDefault="002023BF">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510D3" w:rsidRDefault="002023BF">
            <w:pPr>
              <w:widowControl w:val="0"/>
              <w:snapToGrid w:val="0"/>
              <w:spacing w:after="0" w:line="240" w:lineRule="auto"/>
              <w:contextualSpacing/>
              <w:jc w:val="right"/>
            </w:pPr>
            <w:r>
              <w:rPr>
                <w:rFonts w:cstheme="minorHAnsi"/>
              </w:rPr>
              <w:t>FAO (FOOD AND AGRICULTURE ORGANISATION OF THE UNITED NATIONS)</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510D3" w:rsidRDefault="002023BF">
            <w:pPr>
              <w:widowControl w:val="0"/>
              <w:snapToGrid w:val="0"/>
              <w:spacing w:after="0" w:line="240" w:lineRule="auto"/>
              <w:contextualSpacing/>
              <w:jc w:val="right"/>
            </w:pPr>
            <w:r>
              <w:rPr>
                <w:rFonts w:cstheme="minorHAnsi"/>
              </w:rPr>
              <w:t>1.50</w:t>
            </w:r>
          </w:p>
        </w:tc>
      </w:tr>
      <w:tr w:rsidR="008510D3">
        <w:tc>
          <w:tcPr>
            <w:tcW w:w="3709" w:type="dxa"/>
            <w:tcBorders>
              <w:left w:val="single" w:sz="4" w:space="0" w:color="000000"/>
              <w:bottom w:val="single" w:sz="4" w:space="0" w:color="000000"/>
              <w:right w:val="single" w:sz="4" w:space="0" w:color="000000"/>
            </w:tcBorders>
            <w:shd w:val="clear" w:color="auto" w:fill="FFFFFF" w:themeFill="background1"/>
          </w:tcPr>
          <w:p w:rsidR="008510D3" w:rsidRDefault="002023BF">
            <w:pPr>
              <w:widowControl w:val="0"/>
              <w:snapToGrid w:val="0"/>
              <w:spacing w:after="0" w:line="240" w:lineRule="auto"/>
              <w:contextualSpacing/>
            </w:pPr>
            <w:r>
              <w:rPr>
                <w:rFonts w:eastAsia="Times New Roman" w:cstheme="minorHAnsi"/>
              </w:rPr>
              <w:t>David Pérez Neira</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510D3" w:rsidRDefault="002023BF">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510D3" w:rsidRDefault="002023BF">
            <w:pPr>
              <w:widowControl w:val="0"/>
              <w:snapToGrid w:val="0"/>
              <w:spacing w:after="0" w:line="240" w:lineRule="auto"/>
              <w:contextualSpacing/>
              <w:jc w:val="right"/>
            </w:pPr>
            <w:r>
              <w:rPr>
                <w:rFonts w:cstheme="minorHAnsi"/>
              </w:rPr>
              <w:t>UNIVERSITY OF LEÓN</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510D3" w:rsidRDefault="002023BF">
            <w:pPr>
              <w:widowControl w:val="0"/>
              <w:snapToGrid w:val="0"/>
              <w:spacing w:after="0" w:line="240" w:lineRule="auto"/>
              <w:contextualSpacing/>
              <w:jc w:val="right"/>
            </w:pPr>
            <w:r>
              <w:rPr>
                <w:rFonts w:cstheme="minorHAnsi"/>
              </w:rPr>
              <w:t>0.5</w:t>
            </w:r>
          </w:p>
        </w:tc>
      </w:tr>
      <w:tr w:rsidR="008510D3">
        <w:tc>
          <w:tcPr>
            <w:tcW w:w="3709" w:type="dxa"/>
            <w:tcBorders>
              <w:left w:val="single" w:sz="4" w:space="0" w:color="000000"/>
              <w:bottom w:val="single" w:sz="4" w:space="0" w:color="000000"/>
              <w:right w:val="single" w:sz="4" w:space="0" w:color="000000"/>
            </w:tcBorders>
            <w:shd w:val="clear" w:color="auto" w:fill="FFFFFF" w:themeFill="background1"/>
          </w:tcPr>
          <w:p w:rsidR="008510D3" w:rsidRDefault="002023BF">
            <w:pPr>
              <w:widowControl w:val="0"/>
              <w:snapToGrid w:val="0"/>
              <w:spacing w:after="0" w:line="240" w:lineRule="auto"/>
              <w:contextualSpacing/>
            </w:pPr>
            <w:r>
              <w:rPr>
                <w:rFonts w:eastAsia="Times New Roman" w:cstheme="minorHAnsi"/>
              </w:rPr>
              <w:t>Marta María Soler Montiel</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8510D3" w:rsidRDefault="002023BF">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8510D3" w:rsidRDefault="002023BF">
            <w:pPr>
              <w:widowControl w:val="0"/>
              <w:snapToGrid w:val="0"/>
              <w:spacing w:after="0" w:line="240" w:lineRule="auto"/>
              <w:contextualSpacing/>
              <w:jc w:val="right"/>
            </w:pPr>
            <w:r>
              <w:rPr>
                <w:rFonts w:cstheme="minorHAnsi"/>
              </w:rPr>
              <w:t>UNIVERSITY OF SEVILLE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8510D3" w:rsidRDefault="002023BF">
            <w:pPr>
              <w:widowControl w:val="0"/>
              <w:snapToGrid w:val="0"/>
              <w:spacing w:after="0" w:line="240" w:lineRule="auto"/>
              <w:contextualSpacing/>
              <w:jc w:val="right"/>
            </w:pPr>
            <w:r>
              <w:rPr>
                <w:rFonts w:cstheme="minorHAnsi"/>
              </w:rPr>
              <w:t>1.00</w:t>
            </w:r>
          </w:p>
        </w:tc>
      </w:tr>
      <w:tr w:rsidR="008510D3">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TUTORIALS: Schedule and location</w:t>
            </w:r>
          </w:p>
        </w:tc>
      </w:tr>
      <w:tr w:rsidR="008510D3">
        <w:tc>
          <w:tcPr>
            <w:tcW w:w="9806" w:type="dxa"/>
            <w:gridSpan w:val="4"/>
            <w:tcBorders>
              <w:left w:val="single" w:sz="4" w:space="0" w:color="000000"/>
              <w:bottom w:val="single" w:sz="4" w:space="0" w:color="000000"/>
              <w:right w:val="single" w:sz="4" w:space="0" w:color="000000"/>
            </w:tcBorders>
            <w:shd w:val="clear" w:color="auto" w:fill="FFFFFF" w:themeFill="background1"/>
          </w:tcPr>
          <w:p w:rsidR="008510D3" w:rsidRDefault="002023BF" w:rsidP="00C40E05">
            <w:pPr>
              <w:widowControl w:val="0"/>
              <w:contextualSpacing/>
              <w:rPr>
                <w:rFonts w:eastAsia="NSimSun" w:cstheme="minorHAnsi"/>
                <w:b/>
                <w:color w:val="000000"/>
                <w:kern w:val="2"/>
                <w:lang w:eastAsia="zh-CN" w:bidi="hi-IN"/>
              </w:rPr>
            </w:pPr>
            <w:r>
              <w:t>Monday, Tuesday, Wednesday and Thursday, from 4pm to 7pm</w:t>
            </w:r>
          </w:p>
        </w:tc>
      </w:tr>
    </w:tbl>
    <w:p w:rsidR="008510D3" w:rsidRDefault="008510D3">
      <w:pPr>
        <w:widowControl w:val="0"/>
        <w:ind w:hanging="567"/>
        <w:contextualSpacing/>
        <w:rPr>
          <w:rFonts w:eastAsia="NSimSun" w:cstheme="minorHAnsi"/>
          <w:b/>
          <w:color w:val="000000"/>
          <w:kern w:val="2"/>
          <w:lang w:eastAsia="zh-CN" w:bidi="hi-IN"/>
        </w:rPr>
      </w:pPr>
    </w:p>
    <w:p w:rsidR="008510D3" w:rsidRDefault="008510D3">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8510D3">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8510D3">
        <w:tc>
          <w:tcPr>
            <w:tcW w:w="3682" w:type="dxa"/>
            <w:tcBorders>
              <w:left w:val="single" w:sz="4" w:space="0" w:color="000000"/>
              <w:bottom w:val="single" w:sz="4" w:space="0" w:color="000000"/>
            </w:tcBorders>
            <w:shd w:val="clear" w:color="auto" w:fill="92D050"/>
          </w:tcPr>
          <w:p w:rsidR="008510D3" w:rsidRDefault="002023BF">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t>C02 Understand the sociological and anthropological foundations that enable analysis of the structure and functioning of food systems, as well as the social and participatory dimension of agroecology.</w:t>
            </w:r>
            <w:r>
              <w:br/>
              <w:t>C03 Understands the ecological foundations of the functioning of agroecosystems and their application as a basis for the design of sustainable agricultural systems.</w:t>
            </w:r>
            <w:r>
              <w:br/>
              <w:t>C04 Understand the agronomic foundations of the functioning of agroecosystems and their application as a basis for the design of sustainable agricultural systems.</w:t>
            </w:r>
            <w:r>
              <w:br/>
              <w:t>C05 Knows the basic principles of economic analysis applied to agricultural and food activities from the perspective of ecological economics</w:t>
            </w:r>
            <w:r>
              <w:br/>
              <w:t>C06 Understand the fundamentals of the relationship between biodiversity and cultural diversity, applied to the management of agroecosystems and food systems.</w:t>
            </w:r>
            <w:r>
              <w:br/>
              <w:t>C7 Understand the basic principles of political-institutional analysis applied to agricultural and food activities from the perspective of political ecology, with special emphasis on the role of the state and social movements in their regulation</w:t>
            </w:r>
            <w:r>
              <w:br/>
              <w:t>C8 Understand the theoretical proposals and practical tools proposed for the design of the agroecological transition.</w:t>
            </w:r>
            <w:r>
              <w:br/>
              <w:t>C9 Understand the sociological, economic and institutional causes of the global food crisis and the principles that should guide the construction of sustainable agri-food systems.</w:t>
            </w:r>
            <w:r>
              <w:br/>
              <w:t xml:space="preserve">C10 Understand the different feminist perspectives and their application to the analysis of agri-food systems. </w:t>
            </w:r>
            <w:r>
              <w:br/>
            </w:r>
            <w:r>
              <w:br/>
            </w:r>
          </w:p>
        </w:tc>
      </w:tr>
      <w:tr w:rsidR="008510D3">
        <w:tc>
          <w:tcPr>
            <w:tcW w:w="3682" w:type="dxa"/>
            <w:tcBorders>
              <w:left w:val="single" w:sz="4" w:space="0" w:color="000000"/>
              <w:bottom w:val="single" w:sz="4" w:space="0" w:color="000000"/>
            </w:tcBorders>
            <w:shd w:val="clear" w:color="auto" w:fill="92D050"/>
          </w:tcPr>
          <w:p w:rsidR="008510D3" w:rsidRDefault="002023BF">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t>COM01 Analyse the content of the readings, synthesise this content to identify key concepts.</w:t>
            </w:r>
            <w:r>
              <w:br/>
              <w:t>COM02 Be able to develop adequate written and oral communication, the orderly presentation of ideas, logical and argumentative justification, as well as relate general concepts to others of a more practical nature.</w:t>
            </w:r>
            <w:r>
              <w:br/>
              <w:t>COM03 Ability to make an ethical commitment to the sustainable transformation of the food system, as advocated by agroecology.</w:t>
            </w:r>
            <w:r>
              <w:br/>
              <w:t>COM04 Integrate social, economic, cultural, agronomic and ecological aspects into the design of the agroecological transition.</w:t>
            </w:r>
            <w:r>
              <w:br/>
              <w:t xml:space="preserve">COM05 Identify the reproduction of gender inequalities in the </w:t>
            </w:r>
            <w:r>
              <w:lastRenderedPageBreak/>
              <w:t>agroecological social reality in the field of agri-food systems.</w:t>
            </w:r>
            <w:r>
              <w:br/>
              <w:t>COM06 Reflect self-critically on power relations in research, incorporating critical reflections on authoritarian relations and patriarchy into theoretical considerations and practices.</w:t>
            </w:r>
            <w:r>
              <w:br/>
              <w:t xml:space="preserve">COM07 Propose and develop community projects for agroecological transformation or maintenance individually, in teams, and in participatory action research. </w:t>
            </w:r>
            <w:r>
              <w:br/>
            </w:r>
            <w:r>
              <w:br/>
            </w:r>
          </w:p>
        </w:tc>
      </w:tr>
      <w:tr w:rsidR="008510D3">
        <w:tc>
          <w:tcPr>
            <w:tcW w:w="3682" w:type="dxa"/>
            <w:tcBorders>
              <w:left w:val="single" w:sz="4" w:space="0" w:color="000000"/>
              <w:bottom w:val="single" w:sz="4" w:space="0" w:color="000000"/>
            </w:tcBorders>
            <w:shd w:val="clear" w:color="auto" w:fill="92D050"/>
          </w:tcPr>
          <w:p w:rsidR="008510D3" w:rsidRDefault="002023BF">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theoretical and methodological perspectives and social research techniques applied to agroecology.</w:t>
            </w:r>
            <w:r>
              <w:br/>
              <w:t>HD02 Knows the main methodologies for the economic and environmental analysis of agroecosystems, with special attention to sustainability assessment tools.</w:t>
            </w:r>
            <w:r>
              <w:br/>
              <w:t>HD03 Designs agroecosystems that combine the capacity to produce food and/or other goods and services with a high degree of resilience and autonomy and the maintenance of biodiversity.</w:t>
            </w:r>
            <w:r>
              <w:br/>
              <w:t>HD04 Develops community projects for agroecological transformation or maintenance individually, in teams, in participatory action research, with special attention to sustainable rural development.</w:t>
            </w:r>
            <w:r>
              <w:br/>
              <w:t>HD05 Manages and applies theories and concepts of political ecology, ecological economics, and techniques for stimulating social participation in agro-environmental decision-making.</w:t>
            </w:r>
            <w:r>
              <w:br/>
              <w:t>HD06 Manages feminist methodologies, tools and organisational approaches aimed at eliminating inequalities and building new gender relations; applies a feminist perspective to the analysis of specific agroecological experiences.</w:t>
            </w:r>
            <w:r>
              <w:br/>
              <w:t>HD07 Diagnostics and methodologically solves agroecological problems and prepares reports and forecasts for the implementation of sustainable practices in agroecosystems and agri-food systems.</w:t>
            </w:r>
            <w:r>
              <w:br/>
              <w:t xml:space="preserve">HD08 Carries out fieldwork in accordance with good design and correct application of participatory action research techniques. </w:t>
            </w:r>
            <w:r>
              <w:br/>
            </w:r>
            <w:r>
              <w:br/>
            </w:r>
          </w:p>
        </w:tc>
      </w:tr>
    </w:tbl>
    <w:p w:rsidR="008510D3" w:rsidRDefault="008510D3">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8510D3">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8510D3">
        <w:tc>
          <w:tcPr>
            <w:tcW w:w="9806" w:type="dxa"/>
            <w:gridSpan w:val="5"/>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sz w:val="24"/>
                <w:szCs w:val="24"/>
                <w:lang w:eastAsia="zh-CN" w:bidi="hi-IN"/>
              </w:rPr>
            </w:pPr>
            <w:r>
              <w:t>Theoretical classes:</w:t>
            </w:r>
            <w:r>
              <w:br/>
              <w:t>Feminist theoretical foundations for a non-androcentric agroecology</w:t>
            </w:r>
            <w:r>
              <w:br/>
              <w:t>Intersectionality and food, the three biases of the Western perspective</w:t>
            </w:r>
            <w:r>
              <w:br/>
              <w:t>Feminist economics and agroecology: theoretical foundations and indicators for analysis</w:t>
            </w:r>
            <w:r>
              <w:br/>
              <w:t>Political subjects and feminist and agroecological social movements</w:t>
            </w:r>
            <w:r>
              <w:br/>
              <w:t>Masculinities and agroecology</w:t>
            </w:r>
            <w:r>
              <w:br/>
              <w:t>Non-hegemonic feminisms</w:t>
            </w:r>
            <w:r>
              <w:br/>
              <w:t>Domestic groups, communities and work in agroecology</w:t>
            </w:r>
            <w:r>
              <w:br/>
              <w:t xml:space="preserve">Strategies, proposals and questions about how to participate, accompany, raise awareness and conduct </w:t>
            </w:r>
            <w:r>
              <w:lastRenderedPageBreak/>
              <w:t>research with a feminist perspective in agroecology.</w:t>
            </w:r>
            <w:r>
              <w:br/>
            </w:r>
            <w:r>
              <w:br/>
              <w:t>Practical classes</w:t>
            </w:r>
            <w:r>
              <w:br/>
              <w:t>Group work and case studies on feminist and agroecological social movements and on how to apply a feminist perspective to agroecological research.</w:t>
            </w:r>
            <w:r>
              <w:br/>
              <w:t>Seminars: Analysis of cases of application of the feminist perspective to the analysis of agroecological experiences.</w:t>
            </w:r>
          </w:p>
          <w:p w:rsidR="008510D3" w:rsidRDefault="008510D3">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8510D3">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8510D3">
        <w:tc>
          <w:tcPr>
            <w:tcW w:w="9806" w:type="dxa"/>
            <w:gridSpan w:val="5"/>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pacing w:after="0" w:line="240" w:lineRule="auto"/>
              <w:contextualSpacing/>
              <w:textAlignment w:val="baseline"/>
              <w:rPr>
                <w:rFonts w:eastAsia="NSimSun" w:cstheme="minorHAnsi"/>
                <w:color w:val="000000"/>
                <w:kern w:val="2"/>
                <w:lang w:eastAsia="zh-CN" w:bidi="hi-IN"/>
              </w:rPr>
            </w:pPr>
            <w:r>
              <w:t xml:space="preserve">Presentations and practical activities (face-to-face, synchronous and/or asynchronous)    </w:t>
            </w:r>
            <w:r>
              <w:br/>
              <w:t xml:space="preserve">Academically directed and/or supervised activities    </w:t>
            </w:r>
            <w:r>
              <w:br/>
              <w:t xml:space="preserve">Independent student activities    </w:t>
            </w:r>
          </w:p>
          <w:p w:rsidR="008510D3" w:rsidRDefault="008510D3">
            <w:pPr>
              <w:widowControl w:val="0"/>
              <w:suppressLineNumbers/>
              <w:spacing w:after="0" w:line="240" w:lineRule="auto"/>
              <w:contextualSpacing/>
              <w:textAlignment w:val="baseline"/>
              <w:rPr>
                <w:rFonts w:eastAsia="NSimSun" w:cstheme="minorHAnsi"/>
                <w:color w:val="000000"/>
                <w:kern w:val="2"/>
                <w:lang w:eastAsia="zh-CN" w:bidi="hi-IN"/>
              </w:rPr>
            </w:pPr>
          </w:p>
        </w:tc>
      </w:tr>
      <w:tr w:rsidR="008510D3">
        <w:tc>
          <w:tcPr>
            <w:tcW w:w="3009"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modality</w:t>
            </w:r>
          </w:p>
        </w:tc>
        <w:tc>
          <w:tcPr>
            <w:tcW w:w="2411" w:type="dxa"/>
            <w:tcBorders>
              <w:left w:val="single" w:sz="4" w:space="0" w:color="000000"/>
              <w:bottom w:val="single" w:sz="4" w:space="0" w:color="000000"/>
            </w:tcBorders>
            <w:shd w:val="clear" w:color="auto" w:fill="92D050"/>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8510D3" w:rsidRDefault="002023BF">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8510D3" w:rsidRDefault="002023BF">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8510D3">
        <w:tc>
          <w:tcPr>
            <w:tcW w:w="3009" w:type="dxa"/>
            <w:tcBorders>
              <w:left w:val="single" w:sz="4" w:space="0" w:color="000000"/>
              <w:bottom w:val="single" w:sz="4" w:space="0" w:color="000000"/>
            </w:tcBorders>
            <w:shd w:val="clear" w:color="auto" w:fill="auto"/>
          </w:tcPr>
          <w:p w:rsidR="008510D3" w:rsidRDefault="002023BF">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8510D3" w:rsidRDefault="002023BF">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8510D3" w:rsidRDefault="002023BF">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8510D3">
        <w:tc>
          <w:tcPr>
            <w:tcW w:w="3009" w:type="dxa"/>
            <w:tcBorders>
              <w:left w:val="single" w:sz="4" w:space="0" w:color="000000"/>
              <w:bottom w:val="single" w:sz="4" w:space="0" w:color="000000"/>
            </w:tcBorders>
            <w:shd w:val="clear" w:color="auto" w:fill="auto"/>
          </w:tcPr>
          <w:p w:rsidR="008510D3" w:rsidRDefault="002023BF">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8510D3" w:rsidRDefault="002023BF">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8510D3" w:rsidRDefault="002023BF">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w:t>
            </w:r>
          </w:p>
        </w:tc>
      </w:tr>
      <w:tr w:rsidR="008510D3">
        <w:tc>
          <w:tcPr>
            <w:tcW w:w="3009" w:type="dxa"/>
            <w:tcBorders>
              <w:left w:val="single" w:sz="4" w:space="0" w:color="000000"/>
              <w:bottom w:val="single" w:sz="4" w:space="0" w:color="000000"/>
            </w:tcBorders>
            <w:shd w:val="clear" w:color="auto" w:fill="auto"/>
          </w:tcPr>
          <w:p w:rsidR="008510D3" w:rsidRDefault="002023BF">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8510D3" w:rsidRDefault="002023BF">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8510D3" w:rsidRDefault="002023BF">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8510D3" w:rsidRDefault="002023BF">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8510D3">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8510D3">
        <w:tc>
          <w:tcPr>
            <w:tcW w:w="9806" w:type="dxa"/>
            <w:gridSpan w:val="5"/>
            <w:tcBorders>
              <w:left w:val="single" w:sz="4" w:space="0" w:color="000000"/>
              <w:bottom w:val="single" w:sz="4" w:space="0" w:color="000000"/>
              <w:right w:val="single" w:sz="4" w:space="0" w:color="000000"/>
            </w:tcBorders>
            <w:shd w:val="clear" w:color="auto" w:fill="auto"/>
          </w:tcPr>
          <w:p w:rsidR="008510D3" w:rsidRDefault="002023BF">
            <w:pPr>
              <w:widowControl w:val="0"/>
              <w:spacing w:after="0"/>
              <w:contextualSpacing/>
              <w:rPr>
                <w:rFonts w:eastAsia="NSimSun" w:cstheme="minorHAnsi"/>
                <w:b/>
                <w:color w:val="000000"/>
                <w:kern w:val="2"/>
                <w:sz w:val="24"/>
                <w:szCs w:val="24"/>
                <w:lang w:eastAsia="zh-CN" w:bidi="hi-IN"/>
              </w:rPr>
            </w:pPr>
            <w:r>
              <w:t>The course will be assessed through the completion of an individual piece of work involving personal reflection and analysis of the readings and content provided in class and on Moodle.  These pieces of work must be submitted before the deadline, either by email to the module coordinator or by uploading a file as an assignment in the corresponding section of the course on Moodle.</w:t>
            </w:r>
            <w:r>
              <w:br/>
            </w:r>
            <w:r>
              <w:br/>
            </w:r>
          </w:p>
        </w:tc>
      </w:tr>
      <w:tr w:rsidR="008510D3">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8510D3" w:rsidRDefault="002023BF">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8510D3">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8510D3" w:rsidRDefault="002023BF">
            <w:pPr>
              <w:widowControl w:val="0"/>
              <w:snapToGrid w:val="0"/>
              <w:spacing w:after="0" w:line="240" w:lineRule="auto"/>
              <w:contextualSpacing/>
            </w:pPr>
            <w:r>
              <w:rPr>
                <w:rFonts w:eastAsia="Times New Roman" w:cstheme="minorHAnsi"/>
              </w:rPr>
              <w:t>Completion and presentation of group assignments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0D3" w:rsidRDefault="002023BF">
            <w:pPr>
              <w:widowControl w:val="0"/>
              <w:snapToGrid w:val="0"/>
              <w:spacing w:after="0" w:line="240" w:lineRule="auto"/>
              <w:contextualSpacing/>
              <w:jc w:val="right"/>
            </w:pPr>
            <w:r>
              <w:rPr>
                <w:rFonts w:cstheme="minorHAnsi"/>
              </w:rPr>
              <w:t>40</w:t>
            </w:r>
          </w:p>
        </w:tc>
      </w:tr>
      <w:tr w:rsidR="008510D3">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8510D3" w:rsidRDefault="002023BF">
            <w:pPr>
              <w:widowControl w:val="0"/>
              <w:snapToGrid w:val="0"/>
              <w:spacing w:after="0" w:line="240" w:lineRule="auto"/>
              <w:contextualSpacing/>
            </w:pPr>
            <w:r>
              <w:rPr>
                <w:rFonts w:eastAsia="Times New Roman" w:cstheme="minorHAnsi"/>
              </w:rPr>
              <w:t>Resolution of cases, problems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10D3" w:rsidRDefault="002023BF">
            <w:pPr>
              <w:widowControl w:val="0"/>
              <w:snapToGrid w:val="0"/>
              <w:spacing w:after="0" w:line="240" w:lineRule="auto"/>
              <w:contextualSpacing/>
              <w:jc w:val="right"/>
            </w:pPr>
            <w:r>
              <w:rPr>
                <w:rFonts w:cstheme="minorHAnsi"/>
              </w:rPr>
              <w:t>60</w:t>
            </w:r>
          </w:p>
        </w:tc>
      </w:tr>
      <w:tr w:rsidR="008510D3">
        <w:tc>
          <w:tcPr>
            <w:tcW w:w="9806" w:type="dxa"/>
            <w:gridSpan w:val="5"/>
            <w:tcBorders>
              <w:left w:val="single" w:sz="4" w:space="0" w:color="000000"/>
              <w:bottom w:val="single" w:sz="4" w:space="0" w:color="000000"/>
              <w:right w:val="single" w:sz="4" w:space="0" w:color="000000"/>
            </w:tcBorders>
            <w:shd w:val="clear" w:color="auto" w:fill="CCCCCC"/>
          </w:tcPr>
          <w:p w:rsidR="008510D3" w:rsidRDefault="002023B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8510D3">
        <w:tc>
          <w:tcPr>
            <w:tcW w:w="9806" w:type="dxa"/>
            <w:gridSpan w:val="5"/>
            <w:tcBorders>
              <w:left w:val="single" w:sz="4" w:space="0" w:color="000000"/>
              <w:bottom w:val="single" w:sz="4" w:space="0" w:color="000000"/>
              <w:right w:val="single" w:sz="4" w:space="0" w:color="000000"/>
            </w:tcBorders>
          </w:tcPr>
          <w:p w:rsidR="00C40E05" w:rsidRDefault="002023BF">
            <w:pPr>
              <w:widowControl w:val="0"/>
              <w:spacing w:after="0"/>
              <w:contextualSpacing/>
            </w:pPr>
            <w:r>
              <w:t xml:space="preserve">Lecture    </w:t>
            </w:r>
            <w:r>
              <w:br/>
              <w:t>Group work and/or group presentations</w:t>
            </w:r>
            <w:r>
              <w:br/>
              <w:t>Debates</w:t>
            </w:r>
            <w:r>
              <w:br/>
              <w:t>Study and analysis of materials and readings</w:t>
            </w:r>
          </w:p>
          <w:p w:rsidR="008510D3" w:rsidRDefault="002023BF">
            <w:pPr>
              <w:widowControl w:val="0"/>
              <w:spacing w:after="0"/>
              <w:contextualSpacing/>
              <w:rPr>
                <w:rFonts w:eastAsia="NSimSun" w:cstheme="minorHAnsi"/>
                <w:b/>
                <w:color w:val="000000"/>
                <w:kern w:val="2"/>
                <w:sz w:val="24"/>
                <w:szCs w:val="24"/>
                <w:lang w:eastAsia="zh-CN" w:bidi="hi-IN"/>
              </w:rPr>
            </w:pPr>
            <w:r>
              <w:br/>
            </w:r>
            <w:r>
              <w:br/>
            </w:r>
          </w:p>
        </w:tc>
      </w:tr>
      <w:tr w:rsidR="008510D3">
        <w:tc>
          <w:tcPr>
            <w:tcW w:w="9806" w:type="dxa"/>
            <w:gridSpan w:val="5"/>
            <w:tcBorders>
              <w:left w:val="single" w:sz="4" w:space="0" w:color="000000"/>
              <w:bottom w:val="single" w:sz="4" w:space="0" w:color="000000"/>
              <w:right w:val="single" w:sz="4" w:space="0" w:color="000000"/>
            </w:tcBorders>
            <w:shd w:val="clear" w:color="auto" w:fill="CCCCCC"/>
          </w:tcPr>
          <w:p w:rsidR="008510D3" w:rsidRDefault="002023BF">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BIBLIOGRAPHY</w:t>
            </w:r>
          </w:p>
        </w:tc>
      </w:tr>
      <w:tr w:rsidR="008510D3">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8510D3" w:rsidRDefault="002023BF">
            <w:pPr>
              <w:widowControl w:val="0"/>
              <w:spacing w:after="0"/>
              <w:contextualSpacing/>
              <w:rPr>
                <w:rFonts w:eastAsia="NSimSun" w:cstheme="minorHAnsi"/>
                <w:b/>
                <w:color w:val="000000"/>
                <w:kern w:val="2"/>
                <w:sz w:val="24"/>
                <w:szCs w:val="24"/>
                <w:lang w:eastAsia="zh-CN" w:bidi="hi-IN"/>
              </w:rPr>
            </w:pPr>
            <w:r>
              <w:t>Amorós, Celia (2007). The Great Difference and its Small Consequences for Women's Struggle. Madrid: Ediciones Cátedra.</w:t>
            </w:r>
            <w:r>
              <w:br/>
              <w:t>Anzaldúa, Gloria (2016). Borderlands. The new mestiza. Madrid: Capitan Swing.</w:t>
            </w:r>
            <w:r>
              <w:br/>
              <w:t>Butler, Judith (2001). Gender Trouble: Feminism and the Subversion of Identity. Buenos Aires: Paidós.</w:t>
            </w:r>
            <w:r>
              <w:br/>
              <w:t>Cabnal, Lorena (2010). An Approach to the Construction of Epistemic Thought among Indigenous Feminist Community Women of Abya Yala. In Lorena Cabnal and ACSUR, Diverse Feminisms: Community Feminism, pp. 10–26. Madrid: ACSUR las Segovias.</w:t>
            </w:r>
            <w:r>
              <w:br/>
              <w:t xml:space="preserve">Carrasco, Cristina (2014): With Our Own Voice. Feminist Economics as a Theoretical and Political Commitment, ed. La oveja Roja and Viento Surhttps://vientosur.info/con-voz-propia-la-economia-feminista-como-apuesta-teorica-y-politica-9513/ </w:t>
            </w:r>
            <w:r>
              <w:br/>
              <w:t>Carrasco, Cristina (2001). The sustainability of life: a women's issue? Mientras Tanto, 82, pp. 43–70.</w:t>
            </w:r>
            <w:r>
              <w:br/>
              <w:t>Davis, Angela (2005). Women, Race and Class. Madrid: Akal.</w:t>
            </w:r>
            <w:r>
              <w:br/>
              <w:t>Faria, Nalu (2009). Feminist economics and the agenda for women's struggle in rural areas. In Andrea Butto (ed.), Rural statistics and feminist economics: a look at women's work, pp. 11–30. Brasília: NEAD.</w:t>
            </w:r>
            <w:r>
              <w:br/>
              <w:t>Haraway, Donna (1991), Science, Cyborgs and Women: The Reinvention of Nature. Madrid: Cátedra.</w:t>
            </w:r>
            <w:r>
              <w:br/>
              <w:t>Federeci, Silvia (2010). Caliban and the Witch: Women, the Body and Primitive Accumulation. Madrid: Traficantes de Sueños.</w:t>
            </w:r>
            <w:r>
              <w:br/>
              <w:t>Galindo, María (2013). You cannot decolonise without depatriarchalising. La Paz: Mujeres Creando.</w:t>
            </w:r>
            <w:r>
              <w:br/>
              <w:t>Harding, Sandra (2008). Sciences from Below: Feminisms, Postcolonialities, and Modernities. Durham: Duke University Press.</w:t>
            </w:r>
            <w:r>
              <w:br/>
              <w:t>Harding, Sandra (1996). Science and Feminism. Madrid: Morata.</w:t>
            </w:r>
            <w:r>
              <w:br/>
              <w:t>Harris, Olivia (1986). The Domestic Unit as a Natural Unit. Nueva Antropología, 8(30), pp. 199–222.</w:t>
            </w:r>
            <w:r>
              <w:br/>
              <w:t>Herrero, Yayo (2013). Ecofeminist perspectives for transitioning to a fair and sustainable world. Revista de Economía Crítica, 16, pp. 278–307.</w:t>
            </w:r>
            <w:r>
              <w:br/>
              <w:t>hooks, bell (2004). Black Women. Shaping Feminist Theory. In bell hooks et al.</w:t>
            </w:r>
            <w:r>
              <w:br/>
              <w:t>hooks, bell; Brah, Avtar; Sandoval, Chela and Anzaldúa, Gloria (2004). Other Inappropriables. Feminisms from the Frontiers. Madrid: Traficantes de Sueños.</w:t>
            </w:r>
            <w:r>
              <w:br/>
              <w:t>Kimbel, Michael (2017). Angry (white) men. Masculinity at the end of an era. Barlin Libros.</w:t>
            </w:r>
            <w:r>
              <w:br/>
              <w:t>Mies, María (1997). Feminist research, science, violence and responsibility in María Mies and Vandana Shiva, Ecofeminism. Theory, criticism and perspectives, pp. 59–86. Barcelona: Icaria.</w:t>
            </w:r>
            <w:r>
              <w:br/>
              <w:t>Moore, Henrietta (1991). Anthropology and Feminism. Barcelona: Cátedra</w:t>
            </w:r>
            <w:r>
              <w:br/>
              <w:t>Pacheco, María Emilia Lisboa (2002). Family farming: environmental sustainability and gender equality. In GT Gender, Gender perspectives: debates and issues for NGOs, Gender and Citizenship, pp. 138–163. Recife: Novib/SOS CORPO.</w:t>
            </w:r>
            <w:r>
              <w:br/>
              <w:t>Pérez Neira, David; Collado, Angel and Vacluende, José María (2013). What about men? Feminist reflections on masculinities and agroecology. In Siliprandi, Emma and Zuluaga, Gloria Patricia (Eds.). Gender, Agroecology and Food Sovereignty. Ed. Icaria.</w:t>
            </w:r>
            <w:r>
              <w:br/>
              <w:t xml:space="preserve">Pérez Neira, David, Soler Montiel, Marta (2013): Agroecology and ecofeminism to decolonise and depatriarchalise globalised food. International Journal of Political Thought No. 8. https://dialnet.unirioja.es/servlet/articulo?codigo=4724089 </w:t>
            </w:r>
            <w:r>
              <w:br/>
              <w:t xml:space="preserve">Pérez Orozco, Amaia (2014). Feminist subversion of the economy. Contributions to a debate on the capital–life conflict. Madrid: Traficantes de Sueños– Mapas. https://traficantes.net/libros/subversi%C3%B3n-feminista-de-la-econom%C3%ADa </w:t>
            </w:r>
            <w:r>
              <w:br/>
              <w:t xml:space="preserve">Pérez Orozco, Amaia Orozco (2005): Gender economics and feminist economics: reconciliation or rupture? </w:t>
            </w:r>
            <w:r>
              <w:lastRenderedPageBreak/>
              <w:t>Venezuelan Journal of Women's Studies, vol. 10, no. 25, pp. 43–64.      </w:t>
            </w:r>
            <w:r>
              <w:br/>
              <w:t>Puleo, Alicia (2000). Ecofeminisms towards a redefinition of nature and human beings. In Celia Amorós (ed.), Feminism and Philosophy, pp. 165–190. Madrid: Síntesis.</w:t>
            </w:r>
            <w:r>
              <w:br/>
              <w:t>Roces, Irene García (2017) Ecofeminist perspective on work and power relations: the ACS–Amazonia Agroecology Network in Acre–Brazil (Doctoral thesis). University of Córdoba, ISEC, Córdoba.</w:t>
            </w:r>
            <w:r>
              <w:br/>
              <w:t>Roces, Irene García and Soler Montiel, Marta (2010). Women, agroecology and food sovereignty in the Moreno Maia community in the state of Acre. Brazil. Feminist research, 1, pp. 43–65.</w:t>
            </w:r>
            <w:r>
              <w:br/>
              <w:t>Segato, Rita (2012) The Elementary Structures of Violence. Buenos Aires: Editorial Prometeo</w:t>
            </w:r>
            <w:r>
              <w:br/>
              <w:t>Shiva, Vandana (1991). Embracing Life: Women, Ecology and Survival. Montevideo: Third World Institute.</w:t>
            </w:r>
            <w:r>
              <w:br/>
              <w:t xml:space="preserve">Siliprandi, Emma (2015). Women and agroecology: transforming the countryside, forests and people. Rio de Janeiro: Editora da UFRJ. </w:t>
            </w:r>
            <w:r>
              <w:br/>
              <w:t>Siliprandi, Emma and Zuluaga, Gloria (2014). Gender, Agroecology and Food Sovereignty. Barcelona: Icaria.</w:t>
            </w:r>
            <w:r>
              <w:br/>
              <w:t>Soler Montiel, Marta and Pérez Neira, David (2013). Towards an ecofeminist re-peasantisation that overcomes the three biases of the Western gaze. Papers on Ecosocial Relations and Global Change, 121, pp. 131–141.</w:t>
            </w:r>
            <w:r>
              <w:br/>
              <w:t>Suárez Navaz, Liliana and Hernández, Rosalva Aída (2008). Decolonising feminism. Theories and practices from the margins. Madrid: Cátedra University of Valencia Women's Institute.</w:t>
            </w:r>
            <w:r>
              <w:br/>
              <w:t>Zuluaga, Gloria P., Catacora-Vargas, G. and Siliprandi, Emma (coordinators) (2018). Agroecology in the Feminine. Reflections based on our experiences. La Paz: SOCLA/CLACSO.</w:t>
            </w:r>
            <w:r>
              <w:br/>
              <w:t>Warren, Karen J. (2003). Ecofeminist Philosophies. Barcelona: Icaria Editorial.</w:t>
            </w:r>
            <w:r>
              <w:br/>
            </w:r>
            <w:r>
              <w:br/>
            </w:r>
          </w:p>
        </w:tc>
      </w:tr>
      <w:tr w:rsidR="008510D3">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8510D3" w:rsidRDefault="002023BF">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8510D3">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8510D3" w:rsidRDefault="008510D3">
            <w:pPr>
              <w:widowControl w:val="0"/>
              <w:spacing w:after="0"/>
              <w:contextualSpacing/>
              <w:rPr>
                <w:rFonts w:eastAsia="NSimSun" w:cstheme="minorHAnsi"/>
                <w:b/>
                <w:color w:val="000000"/>
                <w:kern w:val="2"/>
                <w:sz w:val="24"/>
                <w:szCs w:val="24"/>
                <w:lang w:eastAsia="zh-CN" w:bidi="hi-IN"/>
              </w:rPr>
            </w:pPr>
          </w:p>
        </w:tc>
      </w:tr>
    </w:tbl>
    <w:p w:rsidR="008510D3" w:rsidRDefault="008510D3">
      <w:pPr>
        <w:pStyle w:val="TableContents"/>
        <w:jc w:val="both"/>
        <w:rPr>
          <w:rFonts w:ascii="Serif" w:hAnsi="Serif"/>
        </w:rPr>
      </w:pPr>
    </w:p>
    <w:p w:rsidR="008510D3" w:rsidRDefault="002023BF">
      <w:pPr>
        <w:pStyle w:val="TableContents"/>
        <w:jc w:val="both"/>
        <w:rPr>
          <w:rFonts w:ascii="Serif" w:hAnsi="Serif"/>
        </w:rPr>
      </w:pPr>
      <w:r>
        <w:rPr>
          <w:rFonts w:ascii="Serif" w:hAnsi="Serif"/>
          <w:color w:val="00000A"/>
          <w:sz w:val="20"/>
          <w:szCs w:val="20"/>
        </w:rPr>
        <w:t>In None, 25 April 2024.</w:t>
      </w:r>
    </w:p>
    <w:p w:rsidR="008510D3" w:rsidRPr="00C40E05" w:rsidRDefault="002023BF">
      <w:pPr>
        <w:pStyle w:val="TableContents"/>
        <w:spacing w:line="312" w:lineRule="auto"/>
        <w:ind w:left="-567"/>
        <w:jc w:val="right"/>
        <w:rPr>
          <w:rFonts w:ascii="Serif" w:hAnsi="Serif"/>
          <w:sz w:val="16"/>
          <w:szCs w:val="16"/>
        </w:rPr>
      </w:pPr>
      <w:r w:rsidRPr="00C40E05">
        <w:rPr>
          <w:rFonts w:ascii="Serif" w:hAnsi="Serif"/>
          <w:color w:val="00000A"/>
          <w:sz w:val="16"/>
          <w:szCs w:val="16"/>
        </w:rPr>
        <w:t>Signed: Gallar Hernández, David</w:t>
      </w:r>
    </w:p>
    <w:p w:rsidR="008510D3" w:rsidRPr="00C40E05" w:rsidRDefault="002023BF">
      <w:pPr>
        <w:spacing w:before="120" w:after="120" w:line="312" w:lineRule="auto"/>
        <w:ind w:left="-567"/>
        <w:contextualSpacing/>
        <w:rPr>
          <w:sz w:val="16"/>
          <w:szCs w:val="16"/>
        </w:rPr>
      </w:pPr>
      <w:r w:rsidRPr="00C40E05">
        <w:rPr>
          <w:rFonts w:ascii="Times New Roman" w:hAnsi="Times New Roman"/>
          <w:sz w:val="16"/>
          <w:szCs w:val="16"/>
        </w:rPr>
        <w:t xml:space="preserve">            In accordance with current legislation on the protection of personal data (Regulation(EU) 2016/679 of 27 April), we inform you that the personal data you have provided will be processed by the INTERNATIONAL UNIVERSITY OF ANDALUSIA as the data controller, with the Academic Management Department (Monasterio Santa María de las Cuevas, C / Américo Vespucio nº2. Isla de La Cartuja - 41092 - Seville), before whom you may exercise your rights of access, rectification, limitation, opposition or portability, specifically indicating the reason for your request and attaching a copy of your identity document. The request may be made in writing on paper or by electronic means. </w:t>
      </w:r>
      <w:r w:rsidRPr="00C40E05">
        <w:rPr>
          <w:rFonts w:ascii="Times New Roman" w:hAnsi="Times New Roman"/>
          <w:sz w:val="16"/>
          <w:szCs w:val="16"/>
        </w:rPr>
        <w:br/>
      </w:r>
      <w:r w:rsidRPr="00C40E05">
        <w:rPr>
          <w:rFonts w:ascii="Times New Roman" w:hAnsi="Times New Roman"/>
          <w:sz w:val="16"/>
          <w:szCs w:val="16"/>
        </w:rPr>
        <w:br/>
        <w:t xml:space="preserve">            If you do not receive a response or your request is rejected, you may contact the University's Data Protection Officer (rgpd@unia.es Tel. 954 462299) or lodge a complaint with the Spanish Data Protection Agency using the forms provided for this purpose on its website: https://sedeagpd.gob.es. </w:t>
      </w:r>
      <w:r w:rsidRPr="00C40E05">
        <w:rPr>
          <w:rFonts w:ascii="Times New Roman" w:hAnsi="Times New Roman"/>
          <w:sz w:val="16"/>
          <w:szCs w:val="16"/>
        </w:rPr>
        <w:br/>
      </w:r>
      <w:r w:rsidRPr="00C40E05">
        <w:rPr>
          <w:rFonts w:ascii="Times New Roman" w:hAnsi="Times New Roman"/>
          <w:sz w:val="16"/>
          <w:szCs w:val="16"/>
        </w:rPr>
        <w:br/>
        <w:t xml:space="preserve">            As the data controller, the University informs you that it will only process the personal data you provide for the following purposes: </w:t>
      </w:r>
      <w:r w:rsidRPr="00C40E05">
        <w:rPr>
          <w:rFonts w:ascii="Times New Roman" w:hAnsi="Times New Roman"/>
          <w:sz w:val="16"/>
          <w:szCs w:val="16"/>
        </w:rPr>
        <w:br/>
        <w:t xml:space="preserve">            a)    Academic and administrative management of: </w:t>
      </w:r>
      <w:r w:rsidRPr="00C40E05">
        <w:rPr>
          <w:rFonts w:ascii="Times New Roman" w:hAnsi="Times New Roman"/>
          <w:sz w:val="16"/>
          <w:szCs w:val="16"/>
        </w:rPr>
        <w:br/>
        <w:t xml:space="preserve">                • Participation in the admission and enrolment processes for official courses (Bachelor's, Master's and Doctorate degrees) or continuing education at the International University of Andalusia. </w:t>
      </w:r>
      <w:r w:rsidRPr="00C40E05">
        <w:rPr>
          <w:rFonts w:ascii="Times New Roman" w:hAnsi="Times New Roman"/>
          <w:sz w:val="16"/>
          <w:szCs w:val="16"/>
        </w:rPr>
        <w:br/>
        <w:t xml:space="preserve">                •    Enrolment and/or registration as a student in any of the official degree programmes (bachelor's, master's and doctoral), continuing education or other academic activities offered by the International University of Andalusia. </w:t>
      </w:r>
      <w:r w:rsidRPr="00C40E05">
        <w:rPr>
          <w:rFonts w:ascii="Times New Roman" w:hAnsi="Times New Roman"/>
          <w:sz w:val="16"/>
          <w:szCs w:val="16"/>
        </w:rPr>
        <w:br/>
        <w:t xml:space="preserve">                • Participation in calls for scholarships and study grants from the International University of Andalusia, the General State Administration or the Autonomous Communities and other public or private entities. </w:t>
      </w:r>
      <w:r w:rsidRPr="00C40E05">
        <w:rPr>
          <w:rFonts w:ascii="Times New Roman" w:hAnsi="Times New Roman"/>
          <w:sz w:val="16"/>
          <w:szCs w:val="16"/>
        </w:rPr>
        <w:br/>
      </w:r>
      <w:r w:rsidRPr="00C40E05">
        <w:rPr>
          <w:rFonts w:ascii="Times New Roman" w:hAnsi="Times New Roman"/>
          <w:sz w:val="16"/>
          <w:szCs w:val="16"/>
        </w:rPr>
        <w:lastRenderedPageBreak/>
        <w:t xml:space="preserve">                • Participation in calls for national or international mobility programmes. </w:t>
      </w:r>
      <w:r w:rsidRPr="00C40E05">
        <w:rPr>
          <w:rFonts w:ascii="Times New Roman" w:hAnsi="Times New Roman"/>
          <w:sz w:val="16"/>
          <w:szCs w:val="16"/>
        </w:rPr>
        <w:br/>
        <w:t xml:space="preserve">                •    Obtaining and issuing official degrees, university-specific degrees and other academic qualifications. </w:t>
      </w:r>
      <w:r w:rsidRPr="00C40E05">
        <w:rPr>
          <w:rFonts w:ascii="Times New Roman" w:hAnsi="Times New Roman"/>
          <w:sz w:val="16"/>
          <w:szCs w:val="16"/>
        </w:rPr>
        <w:br/>
        <w:t xml:space="preserve">            b)    Management of your participation as a student in national or international internships and training activities in institutions, companies, organisations or other centres. </w:t>
      </w:r>
      <w:r w:rsidRPr="00C40E05">
        <w:rPr>
          <w:rFonts w:ascii="Times New Roman" w:hAnsi="Times New Roman"/>
          <w:sz w:val="16"/>
          <w:szCs w:val="16"/>
        </w:rPr>
        <w:br/>
        <w:t xml:space="preserve">            c) Use of university services such as obtaining a university card, libraries, sports activities, or others. </w:t>
      </w:r>
      <w:r w:rsidRPr="00C40E05">
        <w:rPr>
          <w:rFonts w:ascii="Times New Roman" w:hAnsi="Times New Roman"/>
          <w:sz w:val="16"/>
          <w:szCs w:val="16"/>
        </w:rPr>
        <w:br/>
      </w:r>
      <w:r w:rsidRPr="00C40E05">
        <w:rPr>
          <w:rFonts w:ascii="Times New Roman" w:hAnsi="Times New Roman"/>
          <w:sz w:val="16"/>
          <w:szCs w:val="16"/>
        </w:rPr>
        <w:br/>
        <w:t xml:space="preserve">            The University is entitled to process this data as it is necessary for the execution of the legal relationship established between you and the University and for the University to comply with its legal obligations established in Organic Law 6/2001 on Universities. </w:t>
      </w:r>
      <w:r w:rsidRPr="00C40E05">
        <w:rPr>
          <w:rFonts w:ascii="Times New Roman" w:hAnsi="Times New Roman"/>
          <w:sz w:val="16"/>
          <w:szCs w:val="16"/>
        </w:rPr>
        <w:br/>
        <w:t xml:space="preserve">            You are responsible for the accuracy of the personal data you have provided to the University and for keeping it up to date. </w:t>
      </w:r>
      <w:r w:rsidRPr="00C40E05">
        <w:rPr>
          <w:rFonts w:ascii="Times New Roman" w:hAnsi="Times New Roman"/>
          <w:sz w:val="16"/>
          <w:szCs w:val="16"/>
        </w:rPr>
        <w:br/>
        <w:t xml:space="preserve">            The University will communicate the personal data that is essential, and never in any other case, to the following categories of recipients: </w:t>
      </w:r>
      <w:r w:rsidRPr="00C40E05">
        <w:rPr>
          <w:rFonts w:ascii="Times New Roman" w:hAnsi="Times New Roman"/>
          <w:sz w:val="16"/>
          <w:szCs w:val="16"/>
        </w:rPr>
        <w:br/>
        <w:t xml:space="preserve">                •    Other public administrations and bodies for the exercise of their own powers and in accordance with the purposes set out above (including, but not limited to, ministries with powers in education and science, other administrations, other universities or equivalent training centres for the management of transfers, and companies for the purpose of work placements). </w:t>
      </w:r>
      <w:r w:rsidRPr="00C40E05">
        <w:rPr>
          <w:rFonts w:ascii="Times New Roman" w:hAnsi="Times New Roman"/>
          <w:sz w:val="16"/>
          <w:szCs w:val="16"/>
        </w:rPr>
        <w:br/>
        <w:t xml:space="preserve">                •    To banking institutions for the management of payments and collections. </w:t>
      </w:r>
      <w:r w:rsidRPr="00C40E05">
        <w:rPr>
          <w:rFonts w:ascii="Times New Roman" w:hAnsi="Times New Roman"/>
          <w:sz w:val="16"/>
          <w:szCs w:val="16"/>
        </w:rPr>
        <w:br/>
        <w:t xml:space="preserve">                •    To public or private bodies by virtue of collaboration agreements or contracts, in accordance with the provisions of current legislation on data protection. </w:t>
      </w:r>
      <w:r w:rsidRPr="00C40E05">
        <w:rPr>
          <w:rFonts w:ascii="Times New Roman" w:hAnsi="Times New Roman"/>
          <w:sz w:val="16"/>
          <w:szCs w:val="16"/>
        </w:rPr>
        <w:br/>
        <w:t xml:space="preserve">                • To the University's own services that are appropriate for managing the use of the university services offered. </w:t>
      </w:r>
      <w:r w:rsidRPr="00C40E05">
        <w:rPr>
          <w:rFonts w:ascii="Times New Roman" w:hAnsi="Times New Roman"/>
          <w:sz w:val="16"/>
          <w:szCs w:val="16"/>
        </w:rPr>
        <w:br/>
        <w:t xml:space="preserve">            Your personal data will be processed and stored by the University in accordance with current data protection legislation, and will then become part of the University Historical Archive, after being purged, in accordance with the provisions of the legislation on Historical Heritage. </w:t>
      </w:r>
      <w:r w:rsidRPr="00C40E05">
        <w:rPr>
          <w:rFonts w:ascii="Times New Roman" w:hAnsi="Times New Roman"/>
          <w:sz w:val="16"/>
          <w:szCs w:val="16"/>
        </w:rPr>
        <w:br/>
      </w:r>
      <w:r w:rsidRPr="00C40E05">
        <w:rPr>
          <w:rFonts w:ascii="Times New Roman" w:hAnsi="Times New Roman"/>
          <w:sz w:val="16"/>
          <w:szCs w:val="16"/>
        </w:rPr>
        <w:br/>
        <w:t xml:space="preserve">            The University only envisages the transfer of data to third countries in the event of your participation as a student in any of the international training programmes or scholarships. The transfer will be carried out in accordance with the guidelines established in this regard by the European Data Protection Regulation and implementing regulations. </w:t>
      </w:r>
      <w:r w:rsidRPr="00C40E05">
        <w:rPr>
          <w:rFonts w:ascii="Times New Roman" w:hAnsi="Times New Roman"/>
          <w:sz w:val="16"/>
          <w:szCs w:val="16"/>
        </w:rPr>
        <w:br/>
        <w:t xml:space="preserve">            The Data Protection Service of the International University of Andalusia has a website that includes legislation, information and models relating to Personal Data Protection, which can be accessed via the following link:  https://www.unia.es/protecciondatos</w:t>
      </w:r>
    </w:p>
    <w:sectPr w:rsidR="008510D3" w:rsidRPr="00C40E05">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230" w:rsidRDefault="00631230">
      <w:pPr>
        <w:spacing w:after="0" w:line="240" w:lineRule="auto"/>
      </w:pPr>
      <w:r>
        <w:separator/>
      </w:r>
    </w:p>
  </w:endnote>
  <w:endnote w:type="continuationSeparator" w:id="0">
    <w:p w:rsidR="00631230" w:rsidRDefault="0063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8510D3" w:rsidRDefault="002023BF">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CC0DD2">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8510D3" w:rsidRDefault="002023BF">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CC0DD2">
          <w:rPr>
            <w:noProof/>
            <w:sz w:val="18"/>
            <w:szCs w:val="18"/>
          </w:rPr>
          <w:t>3</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230" w:rsidRDefault="00631230">
      <w:pPr>
        <w:spacing w:after="0" w:line="240" w:lineRule="auto"/>
      </w:pPr>
      <w:r>
        <w:separator/>
      </w:r>
    </w:p>
  </w:footnote>
  <w:footnote w:type="continuationSeparator" w:id="0">
    <w:p w:rsidR="00631230" w:rsidRDefault="00631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0D3" w:rsidRDefault="00851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8510D3">
      <w:tc>
        <w:tcPr>
          <w:tcW w:w="4419" w:type="dxa"/>
          <w:shd w:val="clear" w:color="auto" w:fill="auto"/>
          <w:vAlign w:val="center"/>
        </w:tcPr>
        <w:p w:rsidR="008510D3" w:rsidRDefault="002023BF">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8510D3" w:rsidRDefault="002023BF">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8510D3" w:rsidRDefault="008510D3">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D3"/>
    <w:rsid w:val="002023BF"/>
    <w:rsid w:val="00631230"/>
    <w:rsid w:val="008510D3"/>
    <w:rsid w:val="00C40E05"/>
    <w:rsid w:val="00CC0DD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7CB9CF-E0B7-4894-B7FC-54962E33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docId:BD5D5B1DCA16F9356978F0C64604798B</cp:keywords>
  <dc:description/>
  <cp:lastModifiedBy>georgemca20@gmail.com</cp:lastModifiedBy>
  <cp:revision>2</cp:revision>
  <cp:lastPrinted>2019-03-29T12:33:00Z</cp:lastPrinted>
  <dcterms:created xsi:type="dcterms:W3CDTF">2025-10-03T15:52:00Z</dcterms:created>
  <dcterms:modified xsi:type="dcterms:W3CDTF">2025-10-03T15:52:00Z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