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271" w:rsidRDefault="00EF1271">
      <w:pPr>
        <w:rPr>
          <w:rFonts w:ascii="Calibri" w:hAnsi="Calibri" w:cs="Calibri"/>
          <w:sz w:val="48"/>
          <w:szCs w:val="48"/>
        </w:rPr>
      </w:pPr>
      <w:bookmarkStart w:id="0" w:name="_GoBack"/>
      <w:bookmarkEnd w:id="0"/>
    </w:p>
    <w:p w:rsidR="00EF1271" w:rsidRDefault="00EF1271">
      <w:pPr>
        <w:pStyle w:val="Heading1"/>
        <w:tabs>
          <w:tab w:val="left" w:pos="0"/>
        </w:tabs>
        <w:rPr>
          <w:rFonts w:ascii="Calibri" w:hAnsi="Calibri" w:cs="Calibri"/>
          <w:sz w:val="48"/>
          <w:szCs w:val="48"/>
        </w:rPr>
      </w:pPr>
    </w:p>
    <w:p w:rsidR="00EF1271" w:rsidRDefault="00EF1271">
      <w:pPr>
        <w:pStyle w:val="Heading1"/>
        <w:tabs>
          <w:tab w:val="left" w:pos="0"/>
        </w:tabs>
        <w:rPr>
          <w:rFonts w:ascii="Calibri" w:hAnsi="Calibri" w:cs="Calibri"/>
          <w:sz w:val="48"/>
          <w:szCs w:val="48"/>
        </w:rPr>
      </w:pPr>
    </w:p>
    <w:p w:rsidR="00EF1271" w:rsidRDefault="007A22C7">
      <w:pPr>
        <w:pStyle w:val="Heading1"/>
        <w:tabs>
          <w:tab w:val="left" w:pos="0"/>
        </w:tabs>
        <w:rPr>
          <w:rFonts w:ascii="Calibri" w:hAnsi="Calibri" w:cs="Calibri"/>
          <w:sz w:val="48"/>
          <w:szCs w:val="48"/>
        </w:rPr>
      </w:pPr>
      <w:hyperlink r:id="rId6">
        <w:r>
          <w:rPr>
            <w:rFonts w:asciiTheme="minorHAnsi" w:hAnsiTheme="minorHAnsi" w:cs="Calibri"/>
            <w:sz w:val="48"/>
            <w:szCs w:val="48"/>
          </w:rPr>
          <w:t>Agroecology: An Approach to Sustainable Transformation of Agri-Food Systems – Module K – Agroecological Transition</w:t>
        </w:r>
      </w:hyperlink>
    </w:p>
    <w:p w:rsidR="00EF1271" w:rsidRDefault="00EF1271">
      <w:pPr>
        <w:tabs>
          <w:tab w:val="left" w:pos="0"/>
        </w:tabs>
        <w:rPr>
          <w:rFonts w:ascii="Calibri" w:hAnsi="Calibri" w:cs="Calibri"/>
          <w:sz w:val="48"/>
          <w:szCs w:val="48"/>
        </w:rPr>
      </w:pPr>
    </w:p>
    <w:p w:rsidR="00EF1271" w:rsidRDefault="00EF1271">
      <w:pPr>
        <w:rPr>
          <w:rFonts w:ascii="Calibri" w:hAnsi="Calibri" w:cs="Calibri"/>
          <w:sz w:val="32"/>
          <w:szCs w:val="32"/>
        </w:rPr>
      </w:pPr>
    </w:p>
    <w:p w:rsidR="00EF1271" w:rsidRDefault="007A22C7">
      <w:pPr>
        <w:suppressLineNumbers/>
        <w:spacing w:after="0" w:line="240" w:lineRule="auto"/>
        <w:jc w:val="center"/>
        <w:textAlignment w:val="baseline"/>
      </w:pPr>
      <w:r>
        <w:rPr>
          <w:rFonts w:eastAsia="Calibri" w:cstheme="minorHAnsi"/>
          <w:color w:val="00000A"/>
          <w:kern w:val="2"/>
        </w:rPr>
        <w:t>Agroecological Transition</w:t>
      </w:r>
    </w:p>
    <w:p w:rsidR="00EF1271" w:rsidRDefault="00EF1271">
      <w:pPr>
        <w:suppressLineNumbers/>
        <w:spacing w:after="0" w:line="240" w:lineRule="auto"/>
        <w:jc w:val="center"/>
        <w:textAlignment w:val="baseline"/>
        <w:rPr>
          <w:rFonts w:ascii="Calibri" w:hAnsi="Calibri" w:cs="Calibri"/>
          <w:sz w:val="32"/>
          <w:szCs w:val="32"/>
        </w:rPr>
      </w:pPr>
    </w:p>
    <w:p w:rsidR="00EF1271" w:rsidRDefault="00EF1271">
      <w:pPr>
        <w:pStyle w:val="Heading1"/>
        <w:tabs>
          <w:tab w:val="left" w:pos="0"/>
        </w:tabs>
        <w:rPr>
          <w:rFonts w:ascii="Calibri" w:hAnsi="Calibri" w:cs="Calibri"/>
          <w:color w:val="FF6600"/>
          <w:sz w:val="48"/>
          <w:szCs w:val="48"/>
        </w:rPr>
      </w:pPr>
    </w:p>
    <w:p w:rsidR="00EF1271" w:rsidRDefault="007A22C7">
      <w:pPr>
        <w:pStyle w:val="Heading1"/>
        <w:tabs>
          <w:tab w:val="left" w:pos="0"/>
        </w:tabs>
        <w:rPr>
          <w:rFonts w:ascii="Calibri" w:hAnsi="Calibri" w:cs="Calibri"/>
          <w:color w:val="70AD47"/>
          <w:sz w:val="48"/>
          <w:szCs w:val="48"/>
        </w:rPr>
      </w:pPr>
      <w:r>
        <w:rPr>
          <w:rFonts w:ascii="Calibri" w:hAnsi="Calibri" w:cs="Calibri"/>
          <w:color w:val="70AD47"/>
          <w:sz w:val="48"/>
          <w:szCs w:val="48"/>
        </w:rPr>
        <w:t xml:space="preserve">TEACHING GUIDE </w:t>
      </w:r>
    </w:p>
    <w:p w:rsidR="00EF1271" w:rsidRDefault="00EF1271">
      <w:pPr>
        <w:tabs>
          <w:tab w:val="left" w:pos="0"/>
        </w:tabs>
        <w:rPr>
          <w:rFonts w:ascii="Calibri" w:hAnsi="Calibri" w:cs="Calibri"/>
          <w:color w:val="70AD47"/>
          <w:sz w:val="48"/>
          <w:szCs w:val="48"/>
        </w:rPr>
      </w:pPr>
    </w:p>
    <w:p w:rsidR="00EF1271" w:rsidRDefault="007A22C7">
      <w:pPr>
        <w:tabs>
          <w:tab w:val="left" w:pos="0"/>
        </w:tabs>
        <w:rPr>
          <w:rFonts w:ascii="Calibri" w:hAnsi="Calibri" w:cs="Calibri"/>
          <w:color w:val="70AD47"/>
          <w:sz w:val="48"/>
          <w:szCs w:val="48"/>
        </w:rPr>
      </w:pPr>
      <w:r>
        <w:rPr>
          <w:rFonts w:cs="Calibri"/>
          <w:noProof/>
          <w:color w:val="70AD47"/>
          <w:sz w:val="48"/>
          <w:szCs w:val="48"/>
          <w:lang w:val="en-GB" w:eastAsia="en-GB"/>
        </w:rPr>
        <w:drawing>
          <wp:anchor distT="0" distB="0" distL="0" distR="0" simplePos="0" relativeHeight="5" behindDoc="0" locked="0" layoutInCell="1" allowOverlap="1">
            <wp:simplePos x="0" y="0"/>
            <wp:positionH relativeFrom="column">
              <wp:align>center</wp:align>
            </wp:positionH>
            <wp:positionV relativeFrom="paragraph">
              <wp:posOffset>635</wp:posOffset>
            </wp:positionV>
            <wp:extent cx="2340610" cy="288036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2340610" cy="2880360"/>
                    </a:xfrm>
                    <a:prstGeom prst="rect">
                      <a:avLst/>
                    </a:prstGeom>
                  </pic:spPr>
                </pic:pic>
              </a:graphicData>
            </a:graphic>
          </wp:anchor>
        </w:drawing>
      </w:r>
    </w:p>
    <w:p w:rsidR="00EF1271" w:rsidRDefault="00EF1271">
      <w:pPr>
        <w:spacing w:before="480" w:line="312" w:lineRule="auto"/>
        <w:ind w:left="360"/>
        <w:jc w:val="center"/>
        <w:rPr>
          <w:rFonts w:cstheme="minorHAnsi"/>
          <w:b/>
          <w:sz w:val="24"/>
          <w:szCs w:val="24"/>
        </w:rPr>
      </w:pPr>
    </w:p>
    <w:p w:rsidR="00EF1271" w:rsidRDefault="00EF1271">
      <w:pPr>
        <w:spacing w:before="480" w:line="312" w:lineRule="auto"/>
        <w:ind w:left="360"/>
        <w:jc w:val="center"/>
        <w:rPr>
          <w:rFonts w:cstheme="minorHAnsi"/>
          <w:b/>
          <w:sz w:val="24"/>
          <w:szCs w:val="24"/>
        </w:rPr>
      </w:pPr>
    </w:p>
    <w:p w:rsidR="00EF1271" w:rsidRDefault="00EF1271">
      <w:pPr>
        <w:spacing w:before="480" w:line="312" w:lineRule="auto"/>
        <w:ind w:left="360"/>
        <w:jc w:val="center"/>
        <w:rPr>
          <w:rFonts w:cstheme="minorHAnsi"/>
          <w:b/>
          <w:sz w:val="24"/>
          <w:szCs w:val="24"/>
        </w:rPr>
      </w:pPr>
    </w:p>
    <w:p w:rsidR="00EF1271" w:rsidRDefault="00EF1271">
      <w:pPr>
        <w:spacing w:before="480" w:line="312" w:lineRule="auto"/>
        <w:ind w:left="360"/>
        <w:jc w:val="center"/>
        <w:rPr>
          <w:rFonts w:cstheme="minorHAnsi"/>
          <w:b/>
          <w:sz w:val="24"/>
          <w:szCs w:val="24"/>
        </w:rPr>
      </w:pPr>
    </w:p>
    <w:p w:rsidR="00EF1271" w:rsidRDefault="00EF1271">
      <w:pPr>
        <w:spacing w:before="480" w:line="312" w:lineRule="auto"/>
        <w:ind w:left="360"/>
        <w:jc w:val="center"/>
        <w:rPr>
          <w:rFonts w:cstheme="minorHAnsi"/>
          <w:b/>
          <w:sz w:val="24"/>
          <w:szCs w:val="24"/>
        </w:rPr>
      </w:pPr>
    </w:p>
    <w:p w:rsidR="00EF1271" w:rsidRDefault="00EF1271">
      <w:pPr>
        <w:spacing w:before="480" w:line="312" w:lineRule="auto"/>
        <w:ind w:left="360"/>
        <w:jc w:val="center"/>
        <w:rPr>
          <w:rFonts w:cstheme="minorHAnsi"/>
          <w:b/>
          <w:sz w:val="24"/>
          <w:szCs w:val="24"/>
        </w:rPr>
      </w:pPr>
    </w:p>
    <w:p w:rsidR="00EF1271" w:rsidRDefault="007A22C7">
      <w:pPr>
        <w:spacing w:before="480" w:line="312" w:lineRule="auto"/>
        <w:jc w:val="center"/>
        <w:rPr>
          <w:rFonts w:cstheme="minorHAnsi"/>
          <w:b/>
          <w:sz w:val="24"/>
          <w:szCs w:val="24"/>
        </w:rPr>
      </w:pPr>
      <w:r>
        <w:rPr>
          <w:rFonts w:eastAsia="Arial" w:cstheme="minorHAnsi"/>
          <w:b/>
          <w:sz w:val="24"/>
          <w:szCs w:val="24"/>
        </w:rPr>
        <w:lastRenderedPageBreak/>
        <w:t>INSTRUCTIONS FOR PREPARING AND PROCESSING TEACHING GUIDES FOR COURSES</w:t>
      </w:r>
    </w:p>
    <w:p w:rsidR="00EF1271" w:rsidRDefault="00EF1271">
      <w:pPr>
        <w:pStyle w:val="ListParagraph"/>
        <w:spacing w:before="120" w:after="120" w:line="312" w:lineRule="auto"/>
        <w:ind w:left="360"/>
        <w:rPr>
          <w:rFonts w:eastAsia="Arial" w:cstheme="minorHAnsi"/>
        </w:rPr>
      </w:pPr>
    </w:p>
    <w:p w:rsidR="00EF1271" w:rsidRDefault="00EF1271">
      <w:pPr>
        <w:pStyle w:val="ListParagraph"/>
        <w:spacing w:before="120" w:after="120" w:line="312" w:lineRule="auto"/>
        <w:ind w:left="360"/>
        <w:rPr>
          <w:rFonts w:ascii="Calibri" w:hAnsi="Calibri" w:cs="Calibri"/>
          <w:color w:val="70AD47"/>
          <w:sz w:val="48"/>
          <w:szCs w:val="48"/>
        </w:rPr>
        <w:sectPr w:rsidR="00EF1271">
          <w:headerReference w:type="default" r:id="rId8"/>
          <w:footerReference w:type="default" r:id="rId9"/>
          <w:pgSz w:w="11906" w:h="16838"/>
          <w:pgMar w:top="1717" w:right="1701" w:bottom="1417" w:left="1701" w:header="1417" w:footer="708" w:gutter="0"/>
          <w:cols w:space="720"/>
          <w:formProt w:val="0"/>
          <w:docGrid w:linePitch="360" w:charSpace="4096"/>
        </w:sectPr>
      </w:pPr>
    </w:p>
    <w:p w:rsidR="00EF1271" w:rsidRDefault="00EF1271">
      <w:pPr>
        <w:rPr>
          <w:rFonts w:eastAsia="Arial" w:cstheme="minorHAnsi"/>
        </w:rPr>
      </w:pPr>
    </w:p>
    <w:tbl>
      <w:tblPr>
        <w:tblW w:w="9781" w:type="dxa"/>
        <w:tblInd w:w="-522" w:type="dxa"/>
        <w:tblCellMar>
          <w:top w:w="55" w:type="dxa"/>
          <w:left w:w="55" w:type="dxa"/>
          <w:bottom w:w="55" w:type="dxa"/>
          <w:right w:w="55" w:type="dxa"/>
        </w:tblCellMar>
        <w:tblLook w:val="04A0" w:firstRow="1" w:lastRow="0" w:firstColumn="1" w:lastColumn="0" w:noHBand="0" w:noVBand="1"/>
      </w:tblPr>
      <w:tblGrid>
        <w:gridCol w:w="2446"/>
        <w:gridCol w:w="1333"/>
        <w:gridCol w:w="1286"/>
        <w:gridCol w:w="1285"/>
        <w:gridCol w:w="1288"/>
        <w:gridCol w:w="1072"/>
        <w:gridCol w:w="1071"/>
      </w:tblGrid>
      <w:tr w:rsidR="00EF1271">
        <w:tc>
          <w:tcPr>
            <w:tcW w:w="2445" w:type="dxa"/>
            <w:tcBorders>
              <w:top w:val="single" w:sz="4" w:space="0" w:color="000000"/>
              <w:left w:val="single" w:sz="4" w:space="0" w:color="000000"/>
              <w:bottom w:val="single" w:sz="4" w:space="0" w:color="000000"/>
            </w:tcBorders>
            <w:shd w:val="clear" w:color="auto" w:fill="92D050"/>
            <w:vAlign w:val="center"/>
          </w:tcPr>
          <w:p w:rsidR="00EF1271" w:rsidRDefault="007A22C7">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Type of Training Activity</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auto"/>
          </w:tcPr>
          <w:p w:rsidR="00EF1271" w:rsidRDefault="007A22C7">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Master's Degree</w:t>
            </w:r>
          </w:p>
        </w:tc>
      </w:tr>
      <w:tr w:rsidR="00EF1271">
        <w:tc>
          <w:tcPr>
            <w:tcW w:w="2445" w:type="dxa"/>
            <w:tcBorders>
              <w:top w:val="single" w:sz="4" w:space="0" w:color="000000"/>
              <w:left w:val="single" w:sz="4" w:space="0" w:color="000000"/>
              <w:bottom w:val="single" w:sz="4" w:space="0" w:color="000000"/>
            </w:tcBorders>
            <w:shd w:val="clear" w:color="auto" w:fill="92D050"/>
            <w:vAlign w:val="center"/>
          </w:tcPr>
          <w:p w:rsidR="00EF1271" w:rsidRDefault="007A22C7">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 xml:space="preserve"> Name of Training Activity</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auto"/>
          </w:tcPr>
          <w:p w:rsidR="00EF1271" w:rsidRDefault="007A22C7">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Agroecology: An Approach to the Sustainable Transformation of Agri-Food Systems</w:t>
            </w:r>
          </w:p>
        </w:tc>
      </w:tr>
      <w:tr w:rsidR="00EF1271">
        <w:tc>
          <w:tcPr>
            <w:tcW w:w="2445" w:type="dxa"/>
            <w:tcBorders>
              <w:top w:val="single" w:sz="4" w:space="0" w:color="000000"/>
              <w:left w:val="single" w:sz="4" w:space="0" w:color="000000"/>
              <w:bottom w:val="single" w:sz="4" w:space="0" w:color="000000"/>
            </w:tcBorders>
            <w:shd w:val="clear" w:color="auto" w:fill="92D050"/>
            <w:vAlign w:val="center"/>
          </w:tcPr>
          <w:p w:rsidR="00EF1271" w:rsidRDefault="007A22C7">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Name of the Subject</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auto"/>
          </w:tcPr>
          <w:p w:rsidR="00EF1271" w:rsidRDefault="007A22C7">
            <w:pPr>
              <w:widowControl w:val="0"/>
              <w:suppressLineNumbers/>
              <w:spacing w:after="0" w:line="240" w:lineRule="auto"/>
              <w:contextualSpacing/>
              <w:textAlignment w:val="baseline"/>
            </w:pPr>
            <w:r>
              <w:rPr>
                <w:rFonts w:eastAsia="Calibri" w:cstheme="minorHAnsi"/>
                <w:color w:val="00000A"/>
                <w:kern w:val="2"/>
              </w:rPr>
              <w:t>Agroecological Transition</w:t>
            </w:r>
          </w:p>
          <w:p w:rsidR="00EF1271" w:rsidRDefault="00EF1271">
            <w:pPr>
              <w:widowControl w:val="0"/>
              <w:suppressLineNumbers/>
              <w:spacing w:after="0" w:line="240" w:lineRule="auto"/>
              <w:contextualSpacing/>
              <w:textAlignment w:val="baseline"/>
            </w:pPr>
          </w:p>
        </w:tc>
      </w:tr>
      <w:tr w:rsidR="00EF1271">
        <w:tc>
          <w:tcPr>
            <w:tcW w:w="2445" w:type="dxa"/>
            <w:tcBorders>
              <w:left w:val="single" w:sz="4" w:space="0" w:color="000000"/>
              <w:bottom w:val="single" w:sz="4" w:space="0" w:color="000000"/>
            </w:tcBorders>
            <w:shd w:val="clear" w:color="auto" w:fill="92D050"/>
            <w:vAlign w:val="center"/>
          </w:tcPr>
          <w:p w:rsidR="00EF1271" w:rsidRDefault="007A22C7">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Module</w:t>
            </w:r>
          </w:p>
        </w:tc>
        <w:tc>
          <w:tcPr>
            <w:tcW w:w="7335" w:type="dxa"/>
            <w:gridSpan w:val="6"/>
            <w:tcBorders>
              <w:left w:val="single" w:sz="4" w:space="0" w:color="000000"/>
              <w:bottom w:val="single" w:sz="4" w:space="0" w:color="000000"/>
              <w:right w:val="single" w:sz="4" w:space="0" w:color="000000"/>
            </w:tcBorders>
            <w:shd w:val="clear" w:color="auto" w:fill="auto"/>
          </w:tcPr>
          <w:p w:rsidR="00EF1271" w:rsidRDefault="007A22C7">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Module K - Agroecological Transition</w:t>
            </w:r>
          </w:p>
        </w:tc>
      </w:tr>
      <w:tr w:rsidR="00EF1271">
        <w:tc>
          <w:tcPr>
            <w:tcW w:w="2445" w:type="dxa"/>
            <w:tcBorders>
              <w:left w:val="single" w:sz="4" w:space="0" w:color="000000"/>
              <w:bottom w:val="single" w:sz="4" w:space="0" w:color="000000"/>
            </w:tcBorders>
            <w:shd w:val="clear" w:color="auto" w:fill="92D050"/>
            <w:vAlign w:val="center"/>
          </w:tcPr>
          <w:p w:rsidR="00EF1271" w:rsidRDefault="007A22C7">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Academic</w:t>
            </w:r>
          </w:p>
        </w:tc>
        <w:tc>
          <w:tcPr>
            <w:tcW w:w="7335" w:type="dxa"/>
            <w:gridSpan w:val="6"/>
            <w:tcBorders>
              <w:left w:val="single" w:sz="4" w:space="0" w:color="000000"/>
              <w:bottom w:val="single" w:sz="4" w:space="0" w:color="000000"/>
              <w:right w:val="single" w:sz="4" w:space="0" w:color="000000"/>
            </w:tcBorders>
            <w:shd w:val="clear" w:color="auto" w:fill="auto"/>
          </w:tcPr>
          <w:p w:rsidR="00EF1271" w:rsidRDefault="007A22C7">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2024-2025</w:t>
            </w:r>
          </w:p>
        </w:tc>
      </w:tr>
      <w:tr w:rsidR="00EF1271">
        <w:tc>
          <w:tcPr>
            <w:tcW w:w="2445" w:type="dxa"/>
            <w:tcBorders>
              <w:left w:val="single" w:sz="4" w:space="0" w:color="000000"/>
              <w:bottom w:val="single" w:sz="4" w:space="0" w:color="000000"/>
            </w:tcBorders>
            <w:shd w:val="clear" w:color="auto" w:fill="92D050"/>
            <w:vAlign w:val="center"/>
          </w:tcPr>
          <w:p w:rsidR="00EF1271" w:rsidRDefault="007A22C7">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Type</w:t>
            </w:r>
          </w:p>
        </w:tc>
        <w:tc>
          <w:tcPr>
            <w:tcW w:w="7335" w:type="dxa"/>
            <w:gridSpan w:val="6"/>
            <w:tcBorders>
              <w:left w:val="single" w:sz="4" w:space="0" w:color="000000"/>
              <w:bottom w:val="single" w:sz="4" w:space="0" w:color="000000"/>
              <w:right w:val="single" w:sz="4" w:space="0" w:color="000000"/>
            </w:tcBorders>
            <w:shd w:val="clear" w:color="auto" w:fill="auto"/>
          </w:tcPr>
          <w:p w:rsidR="00EF1271" w:rsidRDefault="007A22C7">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Compulsory</w:t>
            </w:r>
          </w:p>
        </w:tc>
      </w:tr>
      <w:tr w:rsidR="00EF1271">
        <w:tc>
          <w:tcPr>
            <w:tcW w:w="2445" w:type="dxa"/>
            <w:tcBorders>
              <w:left w:val="single" w:sz="4" w:space="0" w:color="000000"/>
              <w:bottom w:val="single" w:sz="4" w:space="0" w:color="000000"/>
            </w:tcBorders>
            <w:shd w:val="clear" w:color="auto" w:fill="92D050"/>
            <w:vAlign w:val="center"/>
          </w:tcPr>
          <w:p w:rsidR="00EF1271" w:rsidRDefault="007A22C7">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ECTS</w:t>
            </w:r>
          </w:p>
        </w:tc>
        <w:tc>
          <w:tcPr>
            <w:tcW w:w="1333" w:type="dxa"/>
            <w:tcBorders>
              <w:left w:val="single" w:sz="4" w:space="0" w:color="000000"/>
              <w:bottom w:val="single" w:sz="4" w:space="0" w:color="000000"/>
            </w:tcBorders>
            <w:shd w:val="clear" w:color="auto" w:fill="FFFFFF" w:themeFill="background1"/>
            <w:vAlign w:val="center"/>
          </w:tcPr>
          <w:p w:rsidR="00EF1271" w:rsidRDefault="007A22C7">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Theory:</w:t>
            </w:r>
          </w:p>
        </w:tc>
        <w:tc>
          <w:tcPr>
            <w:tcW w:w="1286" w:type="dxa"/>
            <w:tcBorders>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EF1271" w:rsidRDefault="007A22C7">
            <w:pPr>
              <w:widowControl w:val="0"/>
              <w:suppressLineNumbers/>
              <w:spacing w:after="0" w:line="240" w:lineRule="auto"/>
              <w:contextualSpacing/>
              <w:jc w:val="center"/>
              <w:textAlignment w:val="baseline"/>
              <w:rPr>
                <w:rFonts w:eastAsia="NSimSun" w:cstheme="minorHAnsi"/>
                <w:color w:val="000000"/>
                <w:kern w:val="2"/>
                <w:lang w:eastAsia="zh-CN" w:bidi="hi-IN"/>
              </w:rPr>
            </w:pPr>
            <w:r>
              <w:rPr>
                <w:rFonts w:eastAsia="NSimSun" w:cstheme="minorHAnsi"/>
                <w:color w:val="000000"/>
                <w:kern w:val="2"/>
                <w:lang w:eastAsia="zh-CN" w:bidi="hi-IN"/>
              </w:rPr>
              <w:t>3.00</w:t>
            </w:r>
          </w:p>
        </w:tc>
        <w:tc>
          <w:tcPr>
            <w:tcW w:w="1285" w:type="dxa"/>
            <w:tcBorders>
              <w:left w:val="single" w:sz="4" w:space="0" w:color="000000"/>
              <w:bottom w:val="single" w:sz="4" w:space="0" w:color="000000"/>
            </w:tcBorders>
            <w:shd w:val="clear" w:color="auto" w:fill="FFFFFF" w:themeFill="background1"/>
            <w:vAlign w:val="center"/>
          </w:tcPr>
          <w:p w:rsidR="00EF1271" w:rsidRDefault="007A22C7">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Practical:</w:t>
            </w:r>
          </w:p>
        </w:tc>
        <w:tc>
          <w:tcPr>
            <w:tcW w:w="1288" w:type="dxa"/>
            <w:tcBorders>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EF1271" w:rsidRDefault="007A22C7">
            <w:pPr>
              <w:widowControl w:val="0"/>
              <w:suppressLineNumbers/>
              <w:spacing w:after="0" w:line="240" w:lineRule="auto"/>
              <w:contextualSpacing/>
              <w:jc w:val="center"/>
              <w:textAlignment w:val="baseline"/>
              <w:rPr>
                <w:rFonts w:eastAsia="NSimSun" w:cstheme="minorHAnsi"/>
                <w:color w:val="000000"/>
                <w:kern w:val="2"/>
                <w:lang w:eastAsia="zh-CN" w:bidi="hi-IN"/>
              </w:rPr>
            </w:pPr>
            <w:r>
              <w:rPr>
                <w:rFonts w:eastAsia="NSimSun" w:cstheme="minorHAnsi"/>
                <w:color w:val="000000"/>
                <w:kern w:val="2"/>
                <w:lang w:eastAsia="zh-CN" w:bidi="hi-IN"/>
              </w:rPr>
              <w:t>0.00</w:t>
            </w:r>
          </w:p>
        </w:tc>
        <w:tc>
          <w:tcPr>
            <w:tcW w:w="1072" w:type="dxa"/>
            <w:tcBorders>
              <w:left w:val="single" w:sz="4" w:space="0" w:color="000000"/>
              <w:bottom w:val="single" w:sz="4" w:space="0" w:color="000000"/>
              <w:right w:val="single" w:sz="4" w:space="0" w:color="000000"/>
            </w:tcBorders>
            <w:shd w:val="clear" w:color="auto" w:fill="FFFFFF" w:themeFill="background1"/>
            <w:vAlign w:val="center"/>
          </w:tcPr>
          <w:p w:rsidR="00EF1271" w:rsidRDefault="007A22C7">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Total:</w:t>
            </w:r>
          </w:p>
        </w:tc>
        <w:tc>
          <w:tcPr>
            <w:tcW w:w="1071"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F1271" w:rsidRDefault="007A22C7">
            <w:pPr>
              <w:widowControl w:val="0"/>
              <w:suppressLineNumbers/>
              <w:spacing w:after="0" w:line="240" w:lineRule="auto"/>
              <w:contextualSpacing/>
              <w:jc w:val="center"/>
              <w:textAlignment w:val="baseline"/>
              <w:rPr>
                <w:rFonts w:eastAsia="NSimSun" w:cstheme="minorHAnsi"/>
                <w:color w:val="000000"/>
                <w:kern w:val="2"/>
                <w:lang w:eastAsia="zh-CN" w:bidi="hi-IN"/>
              </w:rPr>
            </w:pPr>
            <w:r>
              <w:rPr>
                <w:rFonts w:eastAsia="NSimSun" w:cstheme="minorHAnsi"/>
                <w:color w:val="000000"/>
                <w:kern w:val="2"/>
                <w:lang w:eastAsia="zh-CN" w:bidi="hi-IN"/>
              </w:rPr>
              <w:t>3.00</w:t>
            </w:r>
          </w:p>
        </w:tc>
      </w:tr>
      <w:tr w:rsidR="00EF1271">
        <w:tc>
          <w:tcPr>
            <w:tcW w:w="2445" w:type="dxa"/>
            <w:tcBorders>
              <w:left w:val="single" w:sz="4" w:space="0" w:color="000000"/>
              <w:bottom w:val="single" w:sz="4" w:space="0" w:color="000000"/>
            </w:tcBorders>
            <w:shd w:val="clear" w:color="auto" w:fill="92D050"/>
            <w:vAlign w:val="center"/>
          </w:tcPr>
          <w:p w:rsidR="00EF1271" w:rsidRDefault="007A22C7">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Teaching method</w:t>
            </w:r>
          </w:p>
        </w:tc>
        <w:tc>
          <w:tcPr>
            <w:tcW w:w="7335" w:type="dxa"/>
            <w:gridSpan w:val="6"/>
            <w:tcBorders>
              <w:left w:val="single" w:sz="4" w:space="0" w:color="000000"/>
              <w:bottom w:val="single" w:sz="4" w:space="0" w:color="000000"/>
              <w:right w:val="single" w:sz="4" w:space="0" w:color="000000"/>
            </w:tcBorders>
            <w:shd w:val="clear" w:color="auto" w:fill="auto"/>
          </w:tcPr>
          <w:p w:rsidR="00EF1271" w:rsidRDefault="007A22C7">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HYBRID (BLENDED)</w:t>
            </w:r>
          </w:p>
        </w:tc>
      </w:tr>
      <w:tr w:rsidR="00EF1271">
        <w:tc>
          <w:tcPr>
            <w:tcW w:w="2445" w:type="dxa"/>
            <w:tcBorders>
              <w:left w:val="single" w:sz="4" w:space="0" w:color="000000"/>
              <w:bottom w:val="single" w:sz="4" w:space="0" w:color="000000"/>
            </w:tcBorders>
            <w:shd w:val="clear" w:color="auto" w:fill="92D050"/>
            <w:vAlign w:val="center"/>
          </w:tcPr>
          <w:p w:rsidR="00EF1271" w:rsidRDefault="007A22C7">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Teaching period</w:t>
            </w:r>
          </w:p>
        </w:tc>
        <w:tc>
          <w:tcPr>
            <w:tcW w:w="7335" w:type="dxa"/>
            <w:gridSpan w:val="6"/>
            <w:tcBorders>
              <w:left w:val="single" w:sz="4" w:space="0" w:color="000000"/>
              <w:bottom w:val="single" w:sz="4" w:space="0" w:color="000000"/>
              <w:right w:val="single" w:sz="4" w:space="0" w:color="000000"/>
            </w:tcBorders>
            <w:shd w:val="clear" w:color="auto" w:fill="auto"/>
          </w:tcPr>
          <w:p w:rsidR="00EF1271" w:rsidRDefault="007A22C7">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24 to 28 February 2025</w:t>
            </w:r>
          </w:p>
        </w:tc>
      </w:tr>
      <w:tr w:rsidR="00EF1271">
        <w:tc>
          <w:tcPr>
            <w:tcW w:w="2445" w:type="dxa"/>
            <w:tcBorders>
              <w:left w:val="single" w:sz="4" w:space="0" w:color="000000"/>
              <w:bottom w:val="single" w:sz="4" w:space="0" w:color="000000"/>
            </w:tcBorders>
            <w:shd w:val="clear" w:color="auto" w:fill="92D050"/>
            <w:vAlign w:val="center"/>
          </w:tcPr>
          <w:p w:rsidR="00EF1271" w:rsidRDefault="007A22C7">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Coordinating university website</w:t>
            </w:r>
          </w:p>
        </w:tc>
        <w:tc>
          <w:tcPr>
            <w:tcW w:w="7335" w:type="dxa"/>
            <w:gridSpan w:val="6"/>
            <w:tcBorders>
              <w:left w:val="single" w:sz="4" w:space="0" w:color="000000"/>
              <w:bottom w:val="single" w:sz="4" w:space="0" w:color="000000"/>
              <w:right w:val="single" w:sz="4" w:space="0" w:color="000000"/>
            </w:tcBorders>
            <w:shd w:val="clear" w:color="auto" w:fill="auto"/>
          </w:tcPr>
          <w:p w:rsidR="00EF1271" w:rsidRDefault="007A22C7">
            <w:pPr>
              <w:widowControl w:val="0"/>
              <w:suppressLineNumbers/>
              <w:spacing w:after="0" w:line="240" w:lineRule="auto"/>
              <w:contextualSpacing/>
              <w:textAlignment w:val="baseline"/>
              <w:rPr>
                <w:rFonts w:ascii="Calibri" w:hAnsi="Calibri" w:cs="Calibri"/>
                <w:color w:val="70AD47"/>
                <w:sz w:val="48"/>
                <w:szCs w:val="48"/>
              </w:rPr>
            </w:pPr>
            <w:hyperlink r:id="rId10">
              <w:r>
                <w:t>https://www.unia.es/estudios-y-acceso/oferta-academica/masteres-oficiales/master-oficial-en</w:t>
              </w:r>
              <w:r>
                <w:t>-agroecologia-un-enfoque-para-la-sustentabilidad-rural-2</w:t>
              </w:r>
            </w:hyperlink>
          </w:p>
        </w:tc>
      </w:tr>
      <w:tr w:rsidR="00EF1271">
        <w:trPr>
          <w:trHeight w:val="704"/>
        </w:trPr>
        <w:tc>
          <w:tcPr>
            <w:tcW w:w="2445" w:type="dxa"/>
            <w:tcBorders>
              <w:left w:val="single" w:sz="4" w:space="0" w:color="000000"/>
              <w:bottom w:val="single" w:sz="4" w:space="0" w:color="000000"/>
            </w:tcBorders>
            <w:shd w:val="clear" w:color="auto" w:fill="92D050"/>
            <w:vAlign w:val="center"/>
          </w:tcPr>
          <w:p w:rsidR="00EF1271" w:rsidRDefault="007A22C7">
            <w:pPr>
              <w:widowControl w:val="0"/>
              <w:contextualSpacing/>
              <w:rPr>
                <w:rFonts w:eastAsia="NSimSun" w:cstheme="minorHAnsi"/>
                <w:color w:val="000000"/>
                <w:kern w:val="2"/>
                <w:lang w:eastAsia="zh-CN" w:bidi="hi-IN"/>
              </w:rPr>
            </w:pPr>
            <w:r>
              <w:t>Collaborating university website</w:t>
            </w:r>
          </w:p>
        </w:tc>
        <w:tc>
          <w:tcPr>
            <w:tcW w:w="7335" w:type="dxa"/>
            <w:gridSpan w:val="6"/>
            <w:tcBorders>
              <w:left w:val="single" w:sz="4" w:space="0" w:color="000000"/>
              <w:bottom w:val="single" w:sz="4" w:space="0" w:color="000000"/>
              <w:right w:val="single" w:sz="4" w:space="0" w:color="000000"/>
            </w:tcBorders>
            <w:shd w:val="clear" w:color="auto" w:fill="auto"/>
          </w:tcPr>
          <w:p w:rsidR="00EF1271" w:rsidRDefault="007A22C7">
            <w:pPr>
              <w:widowControl w:val="0"/>
              <w:suppressLineNumbers/>
              <w:spacing w:after="0" w:line="240" w:lineRule="auto"/>
              <w:contextualSpacing/>
              <w:textAlignment w:val="baseline"/>
            </w:pPr>
            <w:hyperlink r:id="rId11">
              <w:r>
                <w:t>https://www.uco.es/estudios/idep/agroecologia / https://www.upo.es/postgrado/Master-Oficial-Agroecologia-Un-Enfoque-de-Transformacion-Sustentable-de-los-Sistemas-Agroalimentarios/</w:t>
              </w:r>
            </w:hyperlink>
          </w:p>
        </w:tc>
      </w:tr>
      <w:tr w:rsidR="00EF1271">
        <w:tc>
          <w:tcPr>
            <w:tcW w:w="2445" w:type="dxa"/>
            <w:tcBorders>
              <w:left w:val="single" w:sz="4" w:space="0" w:color="000000"/>
              <w:bottom w:val="single" w:sz="4" w:space="0" w:color="000000"/>
            </w:tcBorders>
            <w:shd w:val="clear" w:color="auto" w:fill="92D050"/>
            <w:vAlign w:val="center"/>
          </w:tcPr>
          <w:p w:rsidR="00EF1271" w:rsidRDefault="007A22C7">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 xml:space="preserve"> Language(s) of instruction</w:t>
            </w:r>
          </w:p>
        </w:tc>
        <w:tc>
          <w:tcPr>
            <w:tcW w:w="7335" w:type="dxa"/>
            <w:gridSpan w:val="6"/>
            <w:tcBorders>
              <w:left w:val="single" w:sz="4" w:space="0" w:color="000000"/>
              <w:bottom w:val="single" w:sz="4" w:space="0" w:color="000000"/>
              <w:right w:val="single" w:sz="4" w:space="0" w:color="000000"/>
            </w:tcBorders>
            <w:shd w:val="clear" w:color="auto" w:fill="auto"/>
          </w:tcPr>
          <w:p w:rsidR="00EF1271" w:rsidRDefault="007A22C7">
            <w:pPr>
              <w:widowControl w:val="0"/>
              <w:spacing w:after="0" w:line="240" w:lineRule="auto"/>
              <w:contextualSpacing/>
            </w:pPr>
            <w:r>
              <w:rPr>
                <w:rFonts w:eastAsia="Calibri" w:cstheme="minorHAnsi"/>
                <w:color w:val="00000A"/>
              </w:rPr>
              <w:t>Spanish</w:t>
            </w:r>
          </w:p>
          <w:p w:rsidR="00EF1271" w:rsidRDefault="00EF1271">
            <w:pPr>
              <w:widowControl w:val="0"/>
              <w:spacing w:after="0" w:line="240" w:lineRule="auto"/>
              <w:contextualSpacing/>
            </w:pPr>
          </w:p>
        </w:tc>
      </w:tr>
    </w:tbl>
    <w:p w:rsidR="00EF1271" w:rsidRDefault="00EF1271">
      <w:pPr>
        <w:rPr>
          <w:sz w:val="40"/>
          <w:szCs w:val="40"/>
        </w:rPr>
      </w:pPr>
    </w:p>
    <w:tbl>
      <w:tblPr>
        <w:tblW w:w="9808" w:type="dxa"/>
        <w:tblInd w:w="-561" w:type="dxa"/>
        <w:tblCellMar>
          <w:top w:w="55" w:type="dxa"/>
          <w:left w:w="55" w:type="dxa"/>
          <w:bottom w:w="55" w:type="dxa"/>
          <w:right w:w="55" w:type="dxa"/>
        </w:tblCellMar>
        <w:tblLook w:val="04A0" w:firstRow="1" w:lastRow="0" w:firstColumn="1" w:lastColumn="0" w:noHBand="0" w:noVBand="1"/>
      </w:tblPr>
      <w:tblGrid>
        <w:gridCol w:w="3715"/>
        <w:gridCol w:w="2111"/>
        <w:gridCol w:w="2113"/>
        <w:gridCol w:w="1869"/>
      </w:tblGrid>
      <w:tr w:rsidR="00EF1271">
        <w:tc>
          <w:tcPr>
            <w:tcW w:w="9807"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EF1271" w:rsidRDefault="007A22C7">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Course coordinator</w:t>
            </w:r>
          </w:p>
        </w:tc>
      </w:tr>
      <w:tr w:rsidR="00EF1271">
        <w:tc>
          <w:tcPr>
            <w:tcW w:w="37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F1271" w:rsidRDefault="007A22C7">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Name</w:t>
            </w:r>
          </w:p>
        </w:tc>
        <w:tc>
          <w:tcPr>
            <w:tcW w:w="2111"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EF1271" w:rsidRDefault="007A22C7">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Email</w:t>
            </w:r>
          </w:p>
        </w:tc>
        <w:tc>
          <w:tcPr>
            <w:tcW w:w="211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EF1271" w:rsidRDefault="007A22C7">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University</w:t>
            </w:r>
          </w:p>
        </w:tc>
        <w:tc>
          <w:tcPr>
            <w:tcW w:w="18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EF1271" w:rsidRDefault="007A22C7">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Credits</w:t>
            </w:r>
          </w:p>
        </w:tc>
      </w:tr>
      <w:tr w:rsidR="00EF1271">
        <w:tc>
          <w:tcPr>
            <w:tcW w:w="3714" w:type="dxa"/>
            <w:tcBorders>
              <w:left w:val="single" w:sz="4" w:space="0" w:color="000000"/>
              <w:bottom w:val="single" w:sz="4" w:space="0" w:color="000000"/>
              <w:right w:val="single" w:sz="4" w:space="0" w:color="000000"/>
            </w:tcBorders>
            <w:shd w:val="clear" w:color="auto" w:fill="FFFFFF" w:themeFill="background1"/>
          </w:tcPr>
          <w:p w:rsidR="00EF1271" w:rsidRDefault="007A22C7">
            <w:pPr>
              <w:widowControl w:val="0"/>
              <w:snapToGrid w:val="0"/>
              <w:spacing w:after="0" w:line="240" w:lineRule="auto"/>
              <w:contextualSpacing/>
            </w:pPr>
            <w:r>
              <w:rPr>
                <w:rFonts w:eastAsia="Times New Roman" w:cstheme="minorHAnsi"/>
              </w:rPr>
              <w:t>Gloria Guzmán Casado</w:t>
            </w:r>
          </w:p>
        </w:tc>
        <w:tc>
          <w:tcPr>
            <w:tcW w:w="2111"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EF1271" w:rsidRDefault="007A22C7">
            <w:pPr>
              <w:widowControl w:val="0"/>
              <w:snapToGrid w:val="0"/>
              <w:spacing w:after="0" w:line="240" w:lineRule="auto"/>
              <w:contextualSpacing/>
            </w:pPr>
            <w:r>
              <w:rPr>
                <w:rFonts w:cstheme="minorHAnsi"/>
              </w:rPr>
              <w:t>***</w:t>
            </w:r>
          </w:p>
        </w:tc>
        <w:tc>
          <w:tcPr>
            <w:tcW w:w="2113"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EF1271" w:rsidRDefault="007A22C7">
            <w:pPr>
              <w:widowControl w:val="0"/>
              <w:snapToGrid w:val="0"/>
              <w:spacing w:after="0" w:line="240" w:lineRule="auto"/>
              <w:contextualSpacing/>
              <w:jc w:val="right"/>
            </w:pPr>
            <w:r>
              <w:rPr>
                <w:rFonts w:cstheme="minorHAnsi"/>
              </w:rPr>
              <w:t>PABLO DE OLAVIDE UNIVERSITY</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EF1271" w:rsidRDefault="007A22C7">
            <w:pPr>
              <w:widowControl w:val="0"/>
              <w:snapToGrid w:val="0"/>
              <w:spacing w:after="0" w:line="240" w:lineRule="auto"/>
              <w:contextualSpacing/>
              <w:jc w:val="right"/>
            </w:pPr>
            <w:r>
              <w:rPr>
                <w:rFonts w:cstheme="minorHAnsi"/>
              </w:rPr>
              <w:t>1.00</w:t>
            </w:r>
          </w:p>
        </w:tc>
      </w:tr>
    </w:tbl>
    <w:p w:rsidR="00EF1271" w:rsidRDefault="00EF1271">
      <w:pPr>
        <w:rPr>
          <w:rFonts w:eastAsia="Arial" w:cstheme="minorHAnsi"/>
        </w:rPr>
      </w:pPr>
    </w:p>
    <w:tbl>
      <w:tblPr>
        <w:tblW w:w="9807" w:type="dxa"/>
        <w:tblInd w:w="-561" w:type="dxa"/>
        <w:tblCellMar>
          <w:top w:w="55" w:type="dxa"/>
          <w:left w:w="55" w:type="dxa"/>
          <w:bottom w:w="55" w:type="dxa"/>
          <w:right w:w="55" w:type="dxa"/>
        </w:tblCellMar>
        <w:tblLook w:val="04A0" w:firstRow="1" w:lastRow="0" w:firstColumn="1" w:lastColumn="0" w:noHBand="0" w:noVBand="1"/>
      </w:tblPr>
      <w:tblGrid>
        <w:gridCol w:w="3710"/>
        <w:gridCol w:w="2117"/>
        <w:gridCol w:w="2111"/>
        <w:gridCol w:w="1869"/>
      </w:tblGrid>
      <w:tr w:rsidR="00EF1271">
        <w:tc>
          <w:tcPr>
            <w:tcW w:w="9806"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EF1271" w:rsidRDefault="007A22C7">
            <w:pPr>
              <w:widowControl w:val="0"/>
              <w:suppressLineNumbers/>
              <w:spacing w:after="0" w:line="240" w:lineRule="auto"/>
              <w:contextualSpacing/>
              <w:jc w:val="center"/>
              <w:textAlignment w:val="baseline"/>
              <w:rPr>
                <w:rFonts w:eastAsia="NSimSun" w:cstheme="minorHAnsi"/>
                <w:color w:val="000000"/>
                <w:kern w:val="2"/>
                <w:sz w:val="24"/>
                <w:szCs w:val="24"/>
                <w:lang w:eastAsia="zh-CN" w:bidi="hi-IN"/>
              </w:rPr>
            </w:pPr>
            <w:r>
              <w:rPr>
                <w:rFonts w:eastAsia="NSimSun" w:cstheme="minorHAnsi"/>
                <w:b/>
                <w:color w:val="000000"/>
                <w:kern w:val="2"/>
                <w:sz w:val="24"/>
                <w:szCs w:val="24"/>
                <w:lang w:eastAsia="zh-CN" w:bidi="hi-IN"/>
              </w:rPr>
              <w:t>Teaching staff</w:t>
            </w:r>
          </w:p>
        </w:tc>
      </w:tr>
      <w:tr w:rsidR="00EF1271">
        <w:tc>
          <w:tcPr>
            <w:tcW w:w="3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F1271" w:rsidRDefault="007A22C7">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First name and surname</w:t>
            </w:r>
          </w:p>
        </w:tc>
        <w:tc>
          <w:tcPr>
            <w:tcW w:w="2117"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EF1271" w:rsidRDefault="007A22C7">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Email</w:t>
            </w:r>
          </w:p>
        </w:tc>
        <w:tc>
          <w:tcPr>
            <w:tcW w:w="21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EF1271" w:rsidRDefault="007A22C7">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University</w:t>
            </w:r>
          </w:p>
        </w:tc>
        <w:tc>
          <w:tcPr>
            <w:tcW w:w="18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EF1271" w:rsidRDefault="007A22C7">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Credits</w:t>
            </w:r>
          </w:p>
        </w:tc>
      </w:tr>
      <w:tr w:rsidR="00EF1271">
        <w:tc>
          <w:tcPr>
            <w:tcW w:w="3709" w:type="dxa"/>
            <w:tcBorders>
              <w:left w:val="single" w:sz="4" w:space="0" w:color="000000"/>
              <w:bottom w:val="single" w:sz="4" w:space="0" w:color="000000"/>
              <w:right w:val="single" w:sz="4" w:space="0" w:color="000000"/>
            </w:tcBorders>
            <w:shd w:val="clear" w:color="auto" w:fill="FFFFFF" w:themeFill="background1"/>
          </w:tcPr>
          <w:p w:rsidR="00EF1271" w:rsidRDefault="007A22C7">
            <w:pPr>
              <w:widowControl w:val="0"/>
              <w:snapToGrid w:val="0"/>
              <w:spacing w:after="0" w:line="240" w:lineRule="auto"/>
              <w:contextualSpacing/>
            </w:pPr>
            <w:r>
              <w:rPr>
                <w:rFonts w:eastAsia="Times New Roman" w:cstheme="minorHAnsi"/>
              </w:rPr>
              <w:t>Manuel Luis González de Molina Navarro</w:t>
            </w:r>
          </w:p>
        </w:tc>
        <w:tc>
          <w:tcPr>
            <w:tcW w:w="2117"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EF1271" w:rsidRDefault="007A22C7">
            <w:pPr>
              <w:widowControl w:val="0"/>
              <w:snapToGrid w:val="0"/>
              <w:spacing w:after="0" w:line="240" w:lineRule="auto"/>
              <w:contextualSpacing/>
            </w:pPr>
            <w:r>
              <w:rPr>
                <w:rFonts w:cstheme="minorHAnsi"/>
              </w:rPr>
              <w:t>***</w:t>
            </w:r>
          </w:p>
        </w:tc>
        <w:tc>
          <w:tcPr>
            <w:tcW w:w="2111"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EF1271" w:rsidRDefault="007A22C7">
            <w:pPr>
              <w:widowControl w:val="0"/>
              <w:snapToGrid w:val="0"/>
              <w:spacing w:after="0" w:line="240" w:lineRule="auto"/>
              <w:contextualSpacing/>
              <w:jc w:val="right"/>
            </w:pPr>
            <w:r>
              <w:rPr>
                <w:rFonts w:cstheme="minorHAnsi"/>
              </w:rPr>
              <w:t>PABLO DE OLAVIDE UNIVERSITY</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EF1271" w:rsidRDefault="007A22C7">
            <w:pPr>
              <w:widowControl w:val="0"/>
              <w:snapToGrid w:val="0"/>
              <w:spacing w:after="0" w:line="240" w:lineRule="auto"/>
              <w:contextualSpacing/>
              <w:jc w:val="right"/>
            </w:pPr>
            <w:r>
              <w:rPr>
                <w:rFonts w:cstheme="minorHAnsi"/>
              </w:rPr>
              <w:t>1.00</w:t>
            </w:r>
          </w:p>
        </w:tc>
      </w:tr>
      <w:tr w:rsidR="00EF1271">
        <w:tc>
          <w:tcPr>
            <w:tcW w:w="3709" w:type="dxa"/>
            <w:tcBorders>
              <w:left w:val="single" w:sz="4" w:space="0" w:color="000000"/>
              <w:bottom w:val="single" w:sz="4" w:space="0" w:color="000000"/>
              <w:right w:val="single" w:sz="4" w:space="0" w:color="000000"/>
            </w:tcBorders>
            <w:shd w:val="clear" w:color="auto" w:fill="FFFFFF" w:themeFill="background1"/>
          </w:tcPr>
          <w:p w:rsidR="00EF1271" w:rsidRDefault="007A22C7">
            <w:pPr>
              <w:widowControl w:val="0"/>
              <w:snapToGrid w:val="0"/>
              <w:spacing w:after="0" w:line="240" w:lineRule="auto"/>
              <w:contextualSpacing/>
            </w:pPr>
            <w:r>
              <w:rPr>
                <w:rFonts w:eastAsia="Times New Roman" w:cstheme="minorHAnsi"/>
              </w:rPr>
              <w:t>Gloria Guzmán Casado</w:t>
            </w:r>
          </w:p>
        </w:tc>
        <w:tc>
          <w:tcPr>
            <w:tcW w:w="2117"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EF1271" w:rsidRDefault="007A22C7">
            <w:pPr>
              <w:widowControl w:val="0"/>
              <w:snapToGrid w:val="0"/>
              <w:spacing w:after="0" w:line="240" w:lineRule="auto"/>
              <w:contextualSpacing/>
            </w:pPr>
            <w:r>
              <w:rPr>
                <w:rFonts w:cstheme="minorHAnsi"/>
              </w:rPr>
              <w:t>***</w:t>
            </w:r>
          </w:p>
        </w:tc>
        <w:tc>
          <w:tcPr>
            <w:tcW w:w="2111"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EF1271" w:rsidRDefault="007A22C7">
            <w:pPr>
              <w:widowControl w:val="0"/>
              <w:snapToGrid w:val="0"/>
              <w:spacing w:after="0" w:line="240" w:lineRule="auto"/>
              <w:contextualSpacing/>
              <w:jc w:val="right"/>
            </w:pPr>
            <w:r>
              <w:rPr>
                <w:rFonts w:cstheme="minorHAnsi"/>
              </w:rPr>
              <w:t>PABLO DE OLAVIDE UNIVERSITY</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EF1271" w:rsidRDefault="007A22C7">
            <w:pPr>
              <w:widowControl w:val="0"/>
              <w:snapToGrid w:val="0"/>
              <w:spacing w:after="0" w:line="240" w:lineRule="auto"/>
              <w:contextualSpacing/>
              <w:jc w:val="right"/>
            </w:pPr>
            <w:r>
              <w:rPr>
                <w:rFonts w:cstheme="minorHAnsi"/>
              </w:rPr>
              <w:t>1.00</w:t>
            </w:r>
          </w:p>
        </w:tc>
      </w:tr>
      <w:tr w:rsidR="00EF1271">
        <w:tc>
          <w:tcPr>
            <w:tcW w:w="3709" w:type="dxa"/>
            <w:tcBorders>
              <w:left w:val="single" w:sz="4" w:space="0" w:color="000000"/>
              <w:bottom w:val="single" w:sz="4" w:space="0" w:color="000000"/>
              <w:right w:val="single" w:sz="4" w:space="0" w:color="000000"/>
            </w:tcBorders>
            <w:shd w:val="clear" w:color="auto" w:fill="FFFFFF" w:themeFill="background1"/>
          </w:tcPr>
          <w:p w:rsidR="00EF1271" w:rsidRDefault="007A22C7">
            <w:pPr>
              <w:widowControl w:val="0"/>
              <w:snapToGrid w:val="0"/>
              <w:spacing w:after="0" w:line="240" w:lineRule="auto"/>
              <w:contextualSpacing/>
            </w:pPr>
            <w:r>
              <w:rPr>
                <w:rFonts w:eastAsia="Times New Roman" w:cstheme="minorHAnsi"/>
              </w:rPr>
              <w:t>Victor Ernesto Mendez Gamero</w:t>
            </w:r>
          </w:p>
        </w:tc>
        <w:tc>
          <w:tcPr>
            <w:tcW w:w="2117"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EF1271" w:rsidRDefault="007A22C7">
            <w:pPr>
              <w:widowControl w:val="0"/>
              <w:snapToGrid w:val="0"/>
              <w:spacing w:after="0" w:line="240" w:lineRule="auto"/>
              <w:contextualSpacing/>
            </w:pPr>
            <w:r>
              <w:rPr>
                <w:rFonts w:cstheme="minorHAnsi"/>
              </w:rPr>
              <w:t>***</w:t>
            </w:r>
          </w:p>
        </w:tc>
        <w:tc>
          <w:tcPr>
            <w:tcW w:w="2111"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EF1271" w:rsidRDefault="007A22C7">
            <w:pPr>
              <w:widowControl w:val="0"/>
              <w:snapToGrid w:val="0"/>
              <w:spacing w:after="0" w:line="240" w:lineRule="auto"/>
              <w:contextualSpacing/>
              <w:jc w:val="right"/>
            </w:pPr>
            <w:r>
              <w:rPr>
                <w:rFonts w:cstheme="minorHAnsi"/>
              </w:rPr>
              <w:t>UNIVERSITY OF VERMONT (USA)</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EF1271" w:rsidRDefault="007A22C7">
            <w:pPr>
              <w:widowControl w:val="0"/>
              <w:snapToGrid w:val="0"/>
              <w:spacing w:after="0" w:line="240" w:lineRule="auto"/>
              <w:contextualSpacing/>
              <w:jc w:val="right"/>
            </w:pPr>
            <w:r>
              <w:rPr>
                <w:rFonts w:cstheme="minorHAnsi"/>
              </w:rPr>
              <w:t>1.00</w:t>
            </w:r>
          </w:p>
        </w:tc>
      </w:tr>
      <w:tr w:rsidR="00EF1271">
        <w:tc>
          <w:tcPr>
            <w:tcW w:w="9806" w:type="dxa"/>
            <w:gridSpan w:val="4"/>
            <w:tcBorders>
              <w:left w:val="single" w:sz="4" w:space="0" w:color="000000"/>
              <w:bottom w:val="single" w:sz="4" w:space="0" w:color="000000"/>
              <w:right w:val="single" w:sz="4" w:space="0" w:color="000000"/>
            </w:tcBorders>
            <w:shd w:val="clear" w:color="auto" w:fill="BFBFBF" w:themeFill="background1" w:themeFillShade="BF"/>
          </w:tcPr>
          <w:p w:rsidR="00EF1271" w:rsidRDefault="007A22C7">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TUTORIALS: Schedule and location</w:t>
            </w:r>
          </w:p>
        </w:tc>
      </w:tr>
      <w:tr w:rsidR="00EF1271">
        <w:tc>
          <w:tcPr>
            <w:tcW w:w="9806" w:type="dxa"/>
            <w:gridSpan w:val="4"/>
            <w:tcBorders>
              <w:left w:val="single" w:sz="4" w:space="0" w:color="000000"/>
              <w:bottom w:val="single" w:sz="4" w:space="0" w:color="000000"/>
              <w:right w:val="single" w:sz="4" w:space="0" w:color="000000"/>
            </w:tcBorders>
            <w:shd w:val="clear" w:color="auto" w:fill="FFFFFF" w:themeFill="background1"/>
          </w:tcPr>
          <w:p w:rsidR="00EF1271" w:rsidRDefault="007A22C7">
            <w:pPr>
              <w:widowControl w:val="0"/>
              <w:contextualSpacing/>
              <w:rPr>
                <w:rFonts w:eastAsia="NSimSun" w:cstheme="minorHAnsi"/>
                <w:b/>
                <w:color w:val="000000"/>
                <w:kern w:val="2"/>
                <w:lang w:eastAsia="zh-CN" w:bidi="hi-IN"/>
              </w:rPr>
            </w:pPr>
            <w:r>
              <w:t xml:space="preserve">Tutorials/seminars: </w:t>
            </w:r>
            <w:r>
              <w:br/>
            </w:r>
            <w:r>
              <w:lastRenderedPageBreak/>
              <w:t xml:space="preserve">Wednesday and Thursday afternoons: 5:00 p.m. to 7:30 p.m. </w:t>
            </w:r>
            <w:r>
              <w:br/>
            </w:r>
            <w:r>
              <w:t>Teaching staff office</w:t>
            </w:r>
          </w:p>
        </w:tc>
      </w:tr>
    </w:tbl>
    <w:p w:rsidR="00EF1271" w:rsidRDefault="00EF1271">
      <w:pPr>
        <w:widowControl w:val="0"/>
        <w:ind w:hanging="567"/>
        <w:contextualSpacing/>
        <w:rPr>
          <w:rFonts w:eastAsia="NSimSun" w:cstheme="minorHAnsi"/>
          <w:b/>
          <w:color w:val="000000"/>
          <w:kern w:val="2"/>
          <w:lang w:eastAsia="zh-CN" w:bidi="hi-IN"/>
        </w:rPr>
      </w:pPr>
    </w:p>
    <w:p w:rsidR="00EF1271" w:rsidRDefault="00EF1271">
      <w:pPr>
        <w:widowControl w:val="0"/>
        <w:ind w:hanging="567"/>
        <w:contextualSpacing/>
        <w:rPr>
          <w:rFonts w:eastAsia="NSimSun" w:cstheme="minorHAnsi"/>
          <w:b/>
          <w:color w:val="000000"/>
          <w:kern w:val="2"/>
          <w:lang w:eastAsia="zh-CN" w:bidi="hi-IN"/>
        </w:rPr>
      </w:pPr>
    </w:p>
    <w:tbl>
      <w:tblPr>
        <w:tblW w:w="9807" w:type="dxa"/>
        <w:tblInd w:w="-561" w:type="dxa"/>
        <w:tblCellMar>
          <w:top w:w="55" w:type="dxa"/>
          <w:left w:w="55" w:type="dxa"/>
          <w:bottom w:w="55" w:type="dxa"/>
          <w:right w:w="55" w:type="dxa"/>
        </w:tblCellMar>
        <w:tblLook w:val="04A0" w:firstRow="1" w:lastRow="0" w:firstColumn="1" w:lastColumn="0" w:noHBand="0" w:noVBand="1"/>
      </w:tblPr>
      <w:tblGrid>
        <w:gridCol w:w="3682"/>
        <w:gridCol w:w="6125"/>
      </w:tblGrid>
      <w:tr w:rsidR="00EF1271">
        <w:tc>
          <w:tcPr>
            <w:tcW w:w="980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F1271" w:rsidRDefault="007A22C7">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RESULTS OF THE TRAINING AND LEARNING PROCESS</w:t>
            </w:r>
          </w:p>
        </w:tc>
      </w:tr>
      <w:tr w:rsidR="00EF1271">
        <w:tc>
          <w:tcPr>
            <w:tcW w:w="3682" w:type="dxa"/>
            <w:tcBorders>
              <w:left w:val="single" w:sz="4" w:space="0" w:color="000000"/>
              <w:bottom w:val="single" w:sz="4" w:space="0" w:color="000000"/>
            </w:tcBorders>
            <w:shd w:val="clear" w:color="auto" w:fill="92D050"/>
          </w:tcPr>
          <w:p w:rsidR="00EF1271" w:rsidRDefault="007A22C7">
            <w:pPr>
              <w:widowControl w:val="0"/>
              <w:suppressLineNumbers/>
              <w:spacing w:after="0" w:line="240" w:lineRule="auto"/>
              <w:contextualSpacing/>
              <w:textAlignment w:val="baseline"/>
            </w:pPr>
            <w:r>
              <w:t>Knowledge or content</w:t>
            </w:r>
          </w:p>
        </w:tc>
        <w:tc>
          <w:tcPr>
            <w:tcW w:w="6124" w:type="dxa"/>
            <w:tcBorders>
              <w:left w:val="single" w:sz="4" w:space="0" w:color="000000"/>
              <w:bottom w:val="single" w:sz="4" w:space="0" w:color="000000"/>
              <w:right w:val="single" w:sz="4" w:space="0" w:color="000000"/>
            </w:tcBorders>
            <w:shd w:val="clear" w:color="auto" w:fill="auto"/>
          </w:tcPr>
          <w:p w:rsidR="00EF1271" w:rsidRDefault="007A22C7">
            <w:pPr>
              <w:widowControl w:val="0"/>
              <w:suppressLineNumbers/>
              <w:spacing w:after="0" w:line="240" w:lineRule="auto"/>
              <w:contextualSpacing/>
              <w:textAlignment w:val="baseline"/>
              <w:rPr>
                <w:rFonts w:eastAsia="NSimSun" w:cstheme="minorHAnsi"/>
                <w:color w:val="000000"/>
                <w:kern w:val="2"/>
                <w:lang w:eastAsia="zh-CN" w:bidi="hi-IN"/>
              </w:rPr>
            </w:pPr>
            <w:r>
              <w:t>C01 Understands the principles and scientific basis of agroecology as a tool for the sustainable transformation of agri-food systems.</w:t>
            </w:r>
            <w:r>
              <w:br/>
            </w:r>
            <w:r>
              <w:t>C02 Understands the sociological and anthropological foundations that enable analysis of the structure and functioning of food systems, as well as the social and participatory dimension of agroecology.</w:t>
            </w:r>
            <w:r>
              <w:br/>
            </w:r>
            <w:r>
              <w:t>C03 Knows the ecological bases of the functioning of a</w:t>
            </w:r>
            <w:r>
              <w:t>groecosystems and their application as a basis for the design of sustainable agricultural systems.</w:t>
            </w:r>
            <w:r>
              <w:br/>
            </w:r>
            <w:r>
              <w:t>C04 Understand the agronomic foundations of agroecosystem functioning and their application as a basis for the design of sustainable agricultural systems.</w:t>
            </w:r>
            <w:r>
              <w:br/>
            </w:r>
            <w:r>
              <w:t>C0</w:t>
            </w:r>
            <w:r>
              <w:t>5 Knows the basic principles of economic analysis applied to agricultural and food activities from the perspective of ecological economics</w:t>
            </w:r>
            <w:r>
              <w:br/>
            </w:r>
            <w:r>
              <w:t>C06 Understand the fundamentals of the relationship between biodiversity and cultural diversity, applied to the manag</w:t>
            </w:r>
            <w:r>
              <w:t>ement of agroecosystems and food systems.</w:t>
            </w:r>
            <w:r>
              <w:br/>
            </w:r>
            <w:r>
              <w:t>C7 Understand the basic principles of political-institutional analysis applied to agricultural and food activities from the perspective of political ecology, with special emphasis on the role of the state and socia</w:t>
            </w:r>
            <w:r>
              <w:t>l movements in their regulation</w:t>
            </w:r>
            <w:r>
              <w:br/>
            </w:r>
            <w:r>
              <w:t>C8 Understand the theoretical proposals and practical tools proposed for the design of the agroecological transition.</w:t>
            </w:r>
            <w:r>
              <w:br/>
            </w:r>
            <w:r>
              <w:t>C9 Understand the sociological, economic and institutional causes of the global food crisis and the princi</w:t>
            </w:r>
            <w:r>
              <w:t>ples that should guide the construction of sustainable agri-food systems.</w:t>
            </w:r>
            <w:r>
              <w:br/>
            </w:r>
            <w:r>
              <w:t xml:space="preserve">C10 Understand the different feminist perspectives and their application to the analysis of agri-food systems. </w:t>
            </w:r>
            <w:r>
              <w:br/>
            </w:r>
            <w:r>
              <w:br/>
            </w:r>
          </w:p>
        </w:tc>
      </w:tr>
      <w:tr w:rsidR="00EF1271">
        <w:tc>
          <w:tcPr>
            <w:tcW w:w="3682" w:type="dxa"/>
            <w:tcBorders>
              <w:left w:val="single" w:sz="4" w:space="0" w:color="000000"/>
              <w:bottom w:val="single" w:sz="4" w:space="0" w:color="000000"/>
            </w:tcBorders>
            <w:shd w:val="clear" w:color="auto" w:fill="92D050"/>
          </w:tcPr>
          <w:p w:rsidR="00EF1271" w:rsidRDefault="007A22C7">
            <w:pPr>
              <w:widowControl w:val="0"/>
              <w:suppressLineNumbers/>
              <w:spacing w:after="0" w:line="240" w:lineRule="auto"/>
              <w:contextualSpacing/>
              <w:textAlignment w:val="baseline"/>
            </w:pPr>
            <w:r>
              <w:t>Competencies</w:t>
            </w:r>
          </w:p>
        </w:tc>
        <w:tc>
          <w:tcPr>
            <w:tcW w:w="6124" w:type="dxa"/>
            <w:tcBorders>
              <w:left w:val="single" w:sz="4" w:space="0" w:color="000000"/>
              <w:bottom w:val="single" w:sz="4" w:space="0" w:color="000000"/>
              <w:right w:val="single" w:sz="4" w:space="0" w:color="000000"/>
            </w:tcBorders>
            <w:shd w:val="clear" w:color="auto" w:fill="auto"/>
          </w:tcPr>
          <w:p w:rsidR="00EF1271" w:rsidRDefault="007A22C7">
            <w:pPr>
              <w:widowControl w:val="0"/>
              <w:suppressLineNumbers/>
              <w:spacing w:after="0" w:line="240" w:lineRule="auto"/>
              <w:contextualSpacing/>
              <w:textAlignment w:val="baseline"/>
              <w:rPr>
                <w:rFonts w:eastAsia="NSimSun" w:cstheme="minorHAnsi"/>
                <w:color w:val="000000"/>
                <w:kern w:val="2"/>
                <w:lang w:eastAsia="zh-CN" w:bidi="hi-IN"/>
              </w:rPr>
            </w:pPr>
            <w:r>
              <w:t xml:space="preserve">COM01 Analyse the content of readings, summarise said </w:t>
            </w:r>
            <w:r>
              <w:t>content to identify key concepts.</w:t>
            </w:r>
            <w:r>
              <w:br/>
            </w:r>
            <w:r>
              <w:t>COM02 Be able to develop written and oral communication skills, present ideas in an orderly manner, provide logical and argumentative justification, and relate general concepts to more practical ones.</w:t>
            </w:r>
            <w:r>
              <w:br/>
            </w:r>
            <w:r>
              <w:t>COM03 Ability to make</w:t>
            </w:r>
            <w:r>
              <w:t xml:space="preserve"> an ethical commitment to the sustainable transformation of the food system, as advocated by agroecology.</w:t>
            </w:r>
            <w:r>
              <w:br/>
            </w:r>
            <w:r>
              <w:t>COM04 Integrate social, economic, cultural, agronomic and ecological aspects into the design of the agroecological transition.</w:t>
            </w:r>
            <w:r>
              <w:br/>
            </w:r>
            <w:r>
              <w:t>COM05 Identify the repr</w:t>
            </w:r>
            <w:r>
              <w:t xml:space="preserve">oduction of gender inequalities in the </w:t>
            </w:r>
            <w:r>
              <w:lastRenderedPageBreak/>
              <w:t>agroecological social reality in the field of agri-food systems.</w:t>
            </w:r>
            <w:r>
              <w:br/>
            </w:r>
            <w:r>
              <w:t>COM06 Reflect self-critically on power relations in research, incorporating critical reflections on authoritarian relations and patriarchy into theoreti</w:t>
            </w:r>
            <w:r>
              <w:t>cal considerations and practices.</w:t>
            </w:r>
            <w:r>
              <w:br/>
            </w:r>
            <w:r>
              <w:t xml:space="preserve">COM07 Propose and develop community projects for agroecological transformation or maintenance individually, in teams, and in participatory action research. </w:t>
            </w:r>
            <w:r>
              <w:br/>
            </w:r>
            <w:r>
              <w:br/>
            </w:r>
          </w:p>
        </w:tc>
      </w:tr>
      <w:tr w:rsidR="00EF1271">
        <w:tc>
          <w:tcPr>
            <w:tcW w:w="3682" w:type="dxa"/>
            <w:tcBorders>
              <w:left w:val="single" w:sz="4" w:space="0" w:color="000000"/>
              <w:bottom w:val="single" w:sz="4" w:space="0" w:color="000000"/>
            </w:tcBorders>
            <w:shd w:val="clear" w:color="auto" w:fill="92D050"/>
          </w:tcPr>
          <w:p w:rsidR="00EF1271" w:rsidRDefault="007A22C7">
            <w:pPr>
              <w:widowControl w:val="0"/>
              <w:suppressLineNumbers/>
              <w:spacing w:after="0" w:line="240" w:lineRule="auto"/>
              <w:contextualSpacing/>
              <w:textAlignment w:val="baseline"/>
            </w:pPr>
            <w:r>
              <w:lastRenderedPageBreak/>
              <w:t>Skills</w:t>
            </w:r>
          </w:p>
        </w:tc>
        <w:tc>
          <w:tcPr>
            <w:tcW w:w="6124" w:type="dxa"/>
            <w:tcBorders>
              <w:left w:val="single" w:sz="4" w:space="0" w:color="000000"/>
              <w:bottom w:val="single" w:sz="4" w:space="0" w:color="000000"/>
              <w:right w:val="single" w:sz="4" w:space="0" w:color="000000"/>
            </w:tcBorders>
            <w:shd w:val="clear" w:color="auto" w:fill="auto"/>
          </w:tcPr>
          <w:p w:rsidR="00EF1271" w:rsidRDefault="007A22C7">
            <w:pPr>
              <w:widowControl w:val="0"/>
              <w:suppressLineNumbers/>
              <w:spacing w:after="0" w:line="240" w:lineRule="auto"/>
              <w:contextualSpacing/>
              <w:textAlignment w:val="baseline"/>
              <w:rPr>
                <w:rFonts w:eastAsia="NSimSun" w:cstheme="minorHAnsi"/>
                <w:color w:val="000000"/>
                <w:kern w:val="2"/>
                <w:lang w:eastAsia="zh-CN" w:bidi="hi-IN"/>
              </w:rPr>
            </w:pPr>
            <w:r>
              <w:t>HD01 Handles the different theoretical and methodologic</w:t>
            </w:r>
            <w:r>
              <w:t>al perspectives and social research techniques applied to agroecology.</w:t>
            </w:r>
            <w:r>
              <w:br/>
            </w:r>
            <w:r>
              <w:t>HD02 Knows the main methodologies for the economic and environmental analysis of agroecosystems, with special attention to sustainability assessment tools.</w:t>
            </w:r>
            <w:r>
              <w:br/>
            </w:r>
            <w:r>
              <w:t>HD03 Designs agroecosystems that combine the capacity to produce food and/or other goods and services with a high degree of resilience and autonomy and the maintenance of biodiversity.</w:t>
            </w:r>
            <w:r>
              <w:br/>
            </w:r>
            <w:r>
              <w:t>HD04 Develops community projects for agroecological transformation or m</w:t>
            </w:r>
            <w:r>
              <w:t>aintenance individually, in teams, in participatory action research, with special attention to sustainable rural development.</w:t>
            </w:r>
            <w:r>
              <w:br/>
            </w:r>
            <w:r>
              <w:t>HD05 Manages and applies theories and concepts of political ecology, ecological economics, and techniques for stimulating social p</w:t>
            </w:r>
            <w:r>
              <w:t>articipation in agro-environmental decision-making.</w:t>
            </w:r>
            <w:r>
              <w:br/>
            </w:r>
            <w:r>
              <w:t>HD06 Manages feminist methodologies, tools and organisational approaches aimed at eliminating inequalities and building new gender relations; applies a feminist perspective to the analysis of specific agr</w:t>
            </w:r>
            <w:r>
              <w:t>oecological experiences.</w:t>
            </w:r>
            <w:r>
              <w:br/>
            </w:r>
            <w:r>
              <w:t>HD07 Diagnoses and methodologically solves agroecological problems and prepares reports and forecasts for the implementation of sustainable practices in agroecosystems and agri-food systems.</w:t>
            </w:r>
            <w:r>
              <w:br/>
            </w:r>
            <w:r>
              <w:t>HD08 Carries out fieldwork in accordance</w:t>
            </w:r>
            <w:r>
              <w:t xml:space="preserve"> with good design and correct application of participatory action research techniques. </w:t>
            </w:r>
            <w:r>
              <w:br/>
            </w:r>
            <w:r>
              <w:br/>
            </w:r>
          </w:p>
        </w:tc>
      </w:tr>
    </w:tbl>
    <w:p w:rsidR="00EF1271" w:rsidRDefault="00EF1271">
      <w:pPr>
        <w:widowControl w:val="0"/>
        <w:suppressLineNumbers/>
        <w:spacing w:after="0" w:line="240" w:lineRule="auto"/>
        <w:ind w:hanging="624"/>
        <w:contextualSpacing/>
        <w:textAlignment w:val="baseline"/>
      </w:pPr>
    </w:p>
    <w:tbl>
      <w:tblPr>
        <w:tblW w:w="9807" w:type="dxa"/>
        <w:tblInd w:w="-561" w:type="dxa"/>
        <w:tblCellMar>
          <w:top w:w="55" w:type="dxa"/>
          <w:left w:w="55" w:type="dxa"/>
          <w:bottom w:w="55" w:type="dxa"/>
          <w:right w:w="55" w:type="dxa"/>
        </w:tblCellMar>
        <w:tblLook w:val="04A0" w:firstRow="1" w:lastRow="0" w:firstColumn="1" w:lastColumn="0" w:noHBand="0" w:noVBand="1"/>
      </w:tblPr>
      <w:tblGrid>
        <w:gridCol w:w="3010"/>
        <w:gridCol w:w="2413"/>
        <w:gridCol w:w="2411"/>
        <w:gridCol w:w="104"/>
        <w:gridCol w:w="1869"/>
      </w:tblGrid>
      <w:tr w:rsidR="00EF1271">
        <w:tc>
          <w:tcPr>
            <w:tcW w:w="9806"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F1271" w:rsidRDefault="007A22C7">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CONTENT DESCRIPTORS</w:t>
            </w:r>
          </w:p>
        </w:tc>
      </w:tr>
      <w:tr w:rsidR="00EF1271">
        <w:tc>
          <w:tcPr>
            <w:tcW w:w="9806" w:type="dxa"/>
            <w:gridSpan w:val="5"/>
            <w:tcBorders>
              <w:left w:val="single" w:sz="4" w:space="0" w:color="000000"/>
              <w:bottom w:val="single" w:sz="4" w:space="0" w:color="000000"/>
              <w:right w:val="single" w:sz="4" w:space="0" w:color="000000"/>
            </w:tcBorders>
            <w:shd w:val="clear" w:color="auto" w:fill="auto"/>
          </w:tcPr>
          <w:p w:rsidR="00EF1271" w:rsidRDefault="007A22C7">
            <w:pPr>
              <w:widowControl w:val="0"/>
              <w:suppressLineNumbers/>
              <w:spacing w:after="0" w:line="240" w:lineRule="auto"/>
              <w:contextualSpacing/>
              <w:textAlignment w:val="baseline"/>
              <w:rPr>
                <w:rFonts w:eastAsia="NSimSun" w:cstheme="minorHAnsi"/>
                <w:color w:val="000000"/>
                <w:kern w:val="2"/>
                <w:lang w:eastAsia="zh-CN" w:bidi="hi-IN"/>
              </w:rPr>
            </w:pPr>
            <w:r>
              <w:t xml:space="preserve">Theoretical classes: </w:t>
            </w:r>
            <w:r>
              <w:br/>
            </w:r>
            <w:r>
              <w:br/>
            </w:r>
            <w:r>
              <w:br/>
              <w:t xml:space="preserve">1) Introduction. Agroecological transition as a participatory process. </w:t>
            </w:r>
            <w:r>
              <w:br/>
            </w:r>
            <w:r>
              <w:br/>
            </w:r>
            <w:r>
              <w:t xml:space="preserve">2) The agroecological transition in Europe. </w:t>
            </w:r>
            <w:r>
              <w:br/>
            </w:r>
            <w:r>
              <w:br/>
            </w:r>
            <w:r>
              <w:t xml:space="preserve">3) Design and development of agroecological transition strategies in Andalusia. </w:t>
            </w:r>
            <w:r>
              <w:br/>
            </w:r>
            <w:r>
              <w:br/>
            </w:r>
            <w:r>
              <w:lastRenderedPageBreak/>
              <w:t xml:space="preserve">4) Design and development of agroecological transition strategies in Latin America. </w:t>
            </w:r>
            <w:r>
              <w:br/>
            </w:r>
            <w:r>
              <w:br/>
            </w:r>
            <w:r>
              <w:t xml:space="preserve">5) Agroecological transition on farms: long-term studies and sustainability indicators. </w:t>
            </w:r>
            <w:r>
              <w:br/>
            </w:r>
            <w:r>
              <w:br/>
            </w:r>
            <w:r>
              <w:t xml:space="preserve">6) Agroecological transition and markets: cases of social consumption in Andalusia and CAM in California. </w:t>
            </w:r>
            <w:r>
              <w:br/>
            </w:r>
            <w:r>
              <w:br/>
            </w:r>
            <w:r>
              <w:t xml:space="preserve">7) Research into agroecological transition processes.  </w:t>
            </w:r>
            <w:r>
              <w:br/>
            </w:r>
            <w:r>
              <w:br/>
            </w:r>
            <w:r>
              <w:br/>
            </w:r>
            <w:r>
              <w:t>Seminar: Participatory techniques for agroecological transition at the local level. (2 h</w:t>
            </w:r>
            <w:r>
              <w:t xml:space="preserve">ours)  </w:t>
            </w:r>
            <w:r>
              <w:br/>
            </w:r>
            <w:r>
              <w:br/>
            </w:r>
            <w:r>
              <w:br/>
              <w:t xml:space="preserve">Practical classes:  </w:t>
            </w:r>
            <w:r>
              <w:br/>
            </w:r>
            <w:r>
              <w:br/>
            </w:r>
            <w:r>
              <w:t>1.</w:t>
            </w:r>
            <w:r>
              <w:tab/>
              <w:t xml:space="preserve">Field trip: Vega de Granada or Alpujarra de Granada. </w:t>
            </w:r>
            <w:r>
              <w:br/>
            </w:r>
            <w:r>
              <w:t xml:space="preserve">Description of the practice: </w:t>
            </w:r>
            <w:r>
              <w:br/>
            </w:r>
            <w:r>
              <w:t xml:space="preserve">The agroecological transition process requires work and progress at different levels: farm, local society and wider society. </w:t>
            </w:r>
            <w:r>
              <w:br/>
            </w:r>
            <w:r>
              <w:t>The practic</w:t>
            </w:r>
            <w:r>
              <w:t xml:space="preserve">al session will aim to illustrate the theory and methodology of agroecological transition at the first two levels.  </w:t>
            </w:r>
            <w:r>
              <w:br/>
            </w:r>
            <w:r>
              <w:br/>
            </w:r>
            <w:r>
              <w:br/>
            </w:r>
            <w:r>
              <w:rPr>
                <w:b/>
              </w:rPr>
              <w:t xml:space="preserve">Guided activities:  </w:t>
            </w:r>
            <w:r>
              <w:rPr>
                <w:b/>
              </w:rPr>
              <w:br/>
            </w:r>
            <w:r>
              <w:br/>
            </w:r>
            <w:r>
              <w:br/>
              <w:t xml:space="preserve">1. Seminar: one per subject or per thematic block.  </w:t>
            </w:r>
            <w:r>
              <w:br/>
            </w:r>
            <w:r>
              <w:br/>
            </w:r>
            <w:r>
              <w:t>2. Lectures: these aim to introduce students to current deba</w:t>
            </w:r>
            <w:r>
              <w:t>tes on the subject.</w:t>
            </w:r>
          </w:p>
          <w:p w:rsidR="00EF1271" w:rsidRDefault="00EF1271">
            <w:pPr>
              <w:widowControl w:val="0"/>
              <w:suppressLineNumbers/>
              <w:spacing w:after="0" w:line="240" w:lineRule="auto"/>
              <w:contextualSpacing/>
              <w:textAlignment w:val="baseline"/>
              <w:rPr>
                <w:rFonts w:eastAsia="NSimSun" w:cstheme="minorHAnsi"/>
                <w:color w:val="000000"/>
                <w:kern w:val="2"/>
                <w:sz w:val="24"/>
                <w:szCs w:val="24"/>
                <w:lang w:eastAsia="zh-CN" w:bidi="hi-IN"/>
              </w:rPr>
            </w:pPr>
          </w:p>
          <w:p w:rsidR="00EF1271" w:rsidRDefault="00EF1271">
            <w:pPr>
              <w:widowControl w:val="0"/>
              <w:suppressLineNumbers/>
              <w:spacing w:after="0" w:line="240" w:lineRule="auto"/>
              <w:contextualSpacing/>
              <w:textAlignment w:val="baseline"/>
              <w:rPr>
                <w:rFonts w:eastAsia="NSimSun" w:cstheme="minorHAnsi"/>
                <w:color w:val="000000"/>
                <w:kern w:val="2"/>
                <w:sz w:val="24"/>
                <w:szCs w:val="24"/>
                <w:lang w:eastAsia="zh-CN" w:bidi="hi-IN"/>
              </w:rPr>
            </w:pPr>
          </w:p>
        </w:tc>
      </w:tr>
      <w:tr w:rsidR="00EF1271">
        <w:tc>
          <w:tcPr>
            <w:tcW w:w="9806" w:type="dxa"/>
            <w:gridSpan w:val="5"/>
            <w:tcBorders>
              <w:left w:val="single" w:sz="4" w:space="0" w:color="000000"/>
              <w:bottom w:val="single" w:sz="4" w:space="0" w:color="000000"/>
              <w:right w:val="single" w:sz="4" w:space="0" w:color="000000"/>
            </w:tcBorders>
            <w:shd w:val="clear" w:color="auto" w:fill="BFBFBF" w:themeFill="background1" w:themeFillShade="BF"/>
          </w:tcPr>
          <w:p w:rsidR="00EF1271" w:rsidRDefault="007A22C7">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lastRenderedPageBreak/>
              <w:t>TRAINING ACTIVITIES AND TEACHING METHODOLOGIES</w:t>
            </w:r>
          </w:p>
        </w:tc>
      </w:tr>
      <w:tr w:rsidR="00EF1271">
        <w:tc>
          <w:tcPr>
            <w:tcW w:w="9806" w:type="dxa"/>
            <w:gridSpan w:val="5"/>
            <w:tcBorders>
              <w:left w:val="single" w:sz="4" w:space="0" w:color="000000"/>
              <w:bottom w:val="single" w:sz="4" w:space="0" w:color="000000"/>
              <w:right w:val="single" w:sz="4" w:space="0" w:color="000000"/>
            </w:tcBorders>
            <w:shd w:val="clear" w:color="auto" w:fill="auto"/>
          </w:tcPr>
          <w:p w:rsidR="00EF1271" w:rsidRDefault="00EF1271">
            <w:pPr>
              <w:widowControl w:val="0"/>
              <w:suppressLineNumbers/>
              <w:spacing w:after="0" w:line="240" w:lineRule="auto"/>
              <w:contextualSpacing/>
              <w:textAlignment w:val="baseline"/>
              <w:rPr>
                <w:rFonts w:eastAsia="NSimSun" w:cstheme="minorHAnsi"/>
                <w:color w:val="000000"/>
                <w:kern w:val="2"/>
                <w:lang w:eastAsia="zh-CN" w:bidi="hi-IN"/>
              </w:rPr>
            </w:pPr>
          </w:p>
          <w:p w:rsidR="00EF1271" w:rsidRDefault="00EF1271">
            <w:pPr>
              <w:widowControl w:val="0"/>
              <w:suppressLineNumbers/>
              <w:spacing w:after="0" w:line="240" w:lineRule="auto"/>
              <w:contextualSpacing/>
              <w:textAlignment w:val="baseline"/>
              <w:rPr>
                <w:rFonts w:eastAsia="NSimSun" w:cstheme="minorHAnsi"/>
                <w:color w:val="000000"/>
                <w:kern w:val="2"/>
                <w:lang w:eastAsia="zh-CN" w:bidi="hi-IN"/>
              </w:rPr>
            </w:pPr>
          </w:p>
        </w:tc>
      </w:tr>
      <w:tr w:rsidR="00EF1271">
        <w:tc>
          <w:tcPr>
            <w:tcW w:w="3009" w:type="dxa"/>
            <w:tcBorders>
              <w:left w:val="single" w:sz="4" w:space="0" w:color="000000"/>
              <w:bottom w:val="single" w:sz="4" w:space="0" w:color="000000"/>
            </w:tcBorders>
            <w:shd w:val="clear" w:color="auto" w:fill="92D050"/>
            <w:vAlign w:val="center"/>
          </w:tcPr>
          <w:p w:rsidR="00EF1271" w:rsidRDefault="007A22C7">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Training activity</w:t>
            </w:r>
          </w:p>
        </w:tc>
        <w:tc>
          <w:tcPr>
            <w:tcW w:w="2413" w:type="dxa"/>
            <w:tcBorders>
              <w:left w:val="single" w:sz="4" w:space="0" w:color="000000"/>
              <w:bottom w:val="single" w:sz="4" w:space="0" w:color="000000"/>
            </w:tcBorders>
            <w:shd w:val="clear" w:color="auto" w:fill="92D050"/>
            <w:vAlign w:val="center"/>
          </w:tcPr>
          <w:p w:rsidR="00EF1271" w:rsidRDefault="007A22C7">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Teaching method</w:t>
            </w:r>
          </w:p>
        </w:tc>
        <w:tc>
          <w:tcPr>
            <w:tcW w:w="2411" w:type="dxa"/>
            <w:tcBorders>
              <w:left w:val="single" w:sz="4" w:space="0" w:color="000000"/>
              <w:bottom w:val="single" w:sz="4" w:space="0" w:color="000000"/>
            </w:tcBorders>
            <w:shd w:val="clear" w:color="auto" w:fill="92D050"/>
            <w:vAlign w:val="center"/>
          </w:tcPr>
          <w:p w:rsidR="00EF1271" w:rsidRDefault="007A22C7">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Dedication</w:t>
            </w:r>
          </w:p>
          <w:p w:rsidR="00EF1271" w:rsidRDefault="007A22C7">
            <w:pPr>
              <w:widowControl w:val="0"/>
              <w:suppressLineNumbers/>
              <w:spacing w:after="0" w:line="240" w:lineRule="auto"/>
              <w:contextualSpacing/>
              <w:jc w:val="center"/>
              <w:textAlignment w:val="baseline"/>
              <w:rPr>
                <w:rFonts w:eastAsia="NSimSun" w:cstheme="minorHAnsi"/>
                <w:color w:val="000000"/>
                <w:kern w:val="2"/>
                <w:sz w:val="18"/>
                <w:szCs w:val="18"/>
                <w:lang w:eastAsia="zh-CN" w:bidi="hi-IN"/>
              </w:rPr>
            </w:pPr>
            <w:r>
              <w:rPr>
                <w:rFonts w:eastAsia="NSimSun" w:cstheme="minorHAnsi"/>
                <w:color w:val="000000"/>
                <w:kern w:val="2"/>
                <w:sz w:val="18"/>
                <w:szCs w:val="18"/>
                <w:lang w:eastAsia="zh-CN" w:bidi="hi-IN"/>
              </w:rPr>
              <w:t>(hours of independent study)</w:t>
            </w:r>
          </w:p>
        </w:tc>
        <w:tc>
          <w:tcPr>
            <w:tcW w:w="1973" w:type="dxa"/>
            <w:gridSpan w:val="2"/>
            <w:tcBorders>
              <w:left w:val="single" w:sz="4" w:space="0" w:color="000000"/>
              <w:bottom w:val="single" w:sz="4" w:space="0" w:color="000000"/>
              <w:right w:val="single" w:sz="4" w:space="0" w:color="000000"/>
            </w:tcBorders>
            <w:shd w:val="clear" w:color="auto" w:fill="92D050"/>
            <w:vAlign w:val="center"/>
          </w:tcPr>
          <w:p w:rsidR="00EF1271" w:rsidRDefault="007A22C7">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Dedication</w:t>
            </w:r>
          </w:p>
          <w:p w:rsidR="00EF1271" w:rsidRDefault="007A22C7">
            <w:pPr>
              <w:widowControl w:val="0"/>
              <w:suppressLineNumbers/>
              <w:spacing w:after="0" w:line="240" w:lineRule="auto"/>
              <w:contextualSpacing/>
              <w:jc w:val="center"/>
              <w:textAlignment w:val="baseline"/>
              <w:rPr>
                <w:rFonts w:eastAsia="NSimSun" w:cstheme="minorHAnsi"/>
                <w:color w:val="000000"/>
                <w:kern w:val="2"/>
                <w:sz w:val="18"/>
                <w:szCs w:val="18"/>
                <w:lang w:eastAsia="zh-CN" w:bidi="hi-IN"/>
              </w:rPr>
            </w:pPr>
            <w:r>
              <w:rPr>
                <w:rFonts w:eastAsia="NSimSun" w:cstheme="minorHAnsi"/>
                <w:color w:val="000000"/>
                <w:kern w:val="2"/>
                <w:sz w:val="18"/>
                <w:szCs w:val="18"/>
                <w:lang w:eastAsia="zh-CN" w:bidi="hi-IN"/>
              </w:rPr>
              <w:t>(hours of class work by the student with teacher support)</w:t>
            </w:r>
          </w:p>
        </w:tc>
      </w:tr>
      <w:tr w:rsidR="00EF1271">
        <w:tc>
          <w:tcPr>
            <w:tcW w:w="3009" w:type="dxa"/>
            <w:tcBorders>
              <w:left w:val="single" w:sz="4" w:space="0" w:color="000000"/>
              <w:bottom w:val="single" w:sz="4" w:space="0" w:color="000000"/>
            </w:tcBorders>
            <w:shd w:val="clear" w:color="auto" w:fill="auto"/>
          </w:tcPr>
          <w:p w:rsidR="00EF1271" w:rsidRDefault="007A22C7">
            <w:pPr>
              <w:widowControl w:val="0"/>
              <w:snapToGrid w:val="0"/>
              <w:spacing w:after="0" w:line="240" w:lineRule="auto"/>
              <w:contextualSpacing/>
              <w:rPr>
                <w:rFonts w:eastAsia="Arial" w:cstheme="minorHAnsi"/>
              </w:rPr>
            </w:pPr>
            <w:r>
              <w:rPr>
                <w:rFonts w:eastAsia="Times New Roman" w:cstheme="minorHAnsi"/>
              </w:rPr>
              <w:t>Lectures and practical activities (face-to-face, synchronous and/or asynchronous)</w:t>
            </w:r>
          </w:p>
        </w:tc>
        <w:tc>
          <w:tcPr>
            <w:tcW w:w="2413" w:type="dxa"/>
            <w:tcBorders>
              <w:left w:val="single" w:sz="4" w:space="0" w:color="000000"/>
              <w:bottom w:val="single" w:sz="4" w:space="0" w:color="000000"/>
            </w:tcBorders>
            <w:shd w:val="clear" w:color="auto" w:fill="auto"/>
          </w:tcPr>
          <w:p w:rsidR="00EF1271" w:rsidRDefault="007A22C7">
            <w:pPr>
              <w:widowControl w:val="0"/>
              <w:snapToGrid w:val="0"/>
              <w:spacing w:after="0" w:line="240" w:lineRule="auto"/>
              <w:contextualSpacing/>
              <w:rPr>
                <w:rFonts w:eastAsia="Arial" w:cstheme="minorHAnsi"/>
              </w:rPr>
            </w:pPr>
            <w:r>
              <w:rPr>
                <w:rFonts w:cstheme="minorHAnsi"/>
              </w:rPr>
              <w:t>IN-PERSON</w:t>
            </w:r>
          </w:p>
        </w:tc>
        <w:tc>
          <w:tcPr>
            <w:tcW w:w="2411" w:type="dxa"/>
            <w:tcBorders>
              <w:left w:val="single" w:sz="4" w:space="0" w:color="000000"/>
              <w:bottom w:val="single" w:sz="4" w:space="0" w:color="000000"/>
            </w:tcBorders>
            <w:shd w:val="clear" w:color="auto" w:fill="auto"/>
          </w:tcPr>
          <w:p w:rsidR="00EF1271" w:rsidRDefault="007A22C7">
            <w:pPr>
              <w:widowControl w:val="0"/>
              <w:snapToGrid w:val="0"/>
              <w:spacing w:after="0" w:line="240" w:lineRule="auto"/>
              <w:contextualSpacing/>
              <w:rPr>
                <w:rFonts w:eastAsia="Arial" w:cstheme="minorHAnsi"/>
              </w:rPr>
            </w:pPr>
            <w:r>
              <w:rPr>
                <w:rFonts w:cstheme="minorHAnsi"/>
              </w:rPr>
              <w:t>0</w:t>
            </w:r>
          </w:p>
        </w:tc>
        <w:tc>
          <w:tcPr>
            <w:tcW w:w="1973" w:type="dxa"/>
            <w:gridSpan w:val="2"/>
            <w:tcBorders>
              <w:left w:val="single" w:sz="4" w:space="0" w:color="000000"/>
              <w:bottom w:val="single" w:sz="4" w:space="0" w:color="000000"/>
              <w:right w:val="single" w:sz="4" w:space="0" w:color="000000"/>
            </w:tcBorders>
            <w:shd w:val="clear" w:color="auto" w:fill="auto"/>
          </w:tcPr>
          <w:p w:rsidR="00EF1271" w:rsidRDefault="007A22C7">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10</w:t>
            </w:r>
          </w:p>
        </w:tc>
      </w:tr>
      <w:tr w:rsidR="00EF1271">
        <w:tc>
          <w:tcPr>
            <w:tcW w:w="3009" w:type="dxa"/>
            <w:tcBorders>
              <w:left w:val="single" w:sz="4" w:space="0" w:color="000000"/>
              <w:bottom w:val="single" w:sz="4" w:space="0" w:color="000000"/>
            </w:tcBorders>
            <w:shd w:val="clear" w:color="auto" w:fill="auto"/>
          </w:tcPr>
          <w:p w:rsidR="00EF1271" w:rsidRDefault="007A22C7">
            <w:pPr>
              <w:widowControl w:val="0"/>
              <w:snapToGrid w:val="0"/>
              <w:spacing w:after="0" w:line="240" w:lineRule="auto"/>
              <w:contextualSpacing/>
              <w:rPr>
                <w:rFonts w:eastAsia="Arial" w:cstheme="minorHAnsi"/>
              </w:rPr>
            </w:pPr>
            <w:r>
              <w:rPr>
                <w:rFonts w:eastAsia="Times New Roman" w:cstheme="minorHAnsi"/>
              </w:rPr>
              <w:t>Academically directed and/or supervised activities</w:t>
            </w:r>
          </w:p>
        </w:tc>
        <w:tc>
          <w:tcPr>
            <w:tcW w:w="2413" w:type="dxa"/>
            <w:tcBorders>
              <w:left w:val="single" w:sz="4" w:space="0" w:color="000000"/>
              <w:bottom w:val="single" w:sz="4" w:space="0" w:color="000000"/>
            </w:tcBorders>
            <w:shd w:val="clear" w:color="auto" w:fill="auto"/>
          </w:tcPr>
          <w:p w:rsidR="00EF1271" w:rsidRDefault="007A22C7">
            <w:pPr>
              <w:widowControl w:val="0"/>
              <w:snapToGrid w:val="0"/>
              <w:spacing w:after="0" w:line="240" w:lineRule="auto"/>
              <w:contextualSpacing/>
              <w:rPr>
                <w:rFonts w:eastAsia="Arial" w:cstheme="minorHAnsi"/>
              </w:rPr>
            </w:pPr>
            <w:r>
              <w:rPr>
                <w:rFonts w:cstheme="minorHAnsi"/>
              </w:rPr>
              <w:t>IN-PERSON</w:t>
            </w:r>
          </w:p>
        </w:tc>
        <w:tc>
          <w:tcPr>
            <w:tcW w:w="2411" w:type="dxa"/>
            <w:tcBorders>
              <w:left w:val="single" w:sz="4" w:space="0" w:color="000000"/>
              <w:bottom w:val="single" w:sz="4" w:space="0" w:color="000000"/>
            </w:tcBorders>
            <w:shd w:val="clear" w:color="auto" w:fill="auto"/>
          </w:tcPr>
          <w:p w:rsidR="00EF1271" w:rsidRDefault="007A22C7">
            <w:pPr>
              <w:widowControl w:val="0"/>
              <w:snapToGrid w:val="0"/>
              <w:spacing w:after="0" w:line="240" w:lineRule="auto"/>
              <w:contextualSpacing/>
              <w:rPr>
                <w:rFonts w:eastAsia="Arial" w:cstheme="minorHAnsi"/>
              </w:rPr>
            </w:pPr>
            <w:r>
              <w:rPr>
                <w:rFonts w:cstheme="minorHAnsi"/>
              </w:rPr>
              <w:t>0</w:t>
            </w:r>
          </w:p>
        </w:tc>
        <w:tc>
          <w:tcPr>
            <w:tcW w:w="1973" w:type="dxa"/>
            <w:gridSpan w:val="2"/>
            <w:tcBorders>
              <w:left w:val="single" w:sz="4" w:space="0" w:color="000000"/>
              <w:bottom w:val="single" w:sz="4" w:space="0" w:color="000000"/>
              <w:right w:val="single" w:sz="4" w:space="0" w:color="000000"/>
            </w:tcBorders>
            <w:shd w:val="clear" w:color="auto" w:fill="auto"/>
          </w:tcPr>
          <w:p w:rsidR="00EF1271" w:rsidRDefault="007A22C7">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10</w:t>
            </w:r>
          </w:p>
        </w:tc>
      </w:tr>
      <w:tr w:rsidR="00EF1271">
        <w:tc>
          <w:tcPr>
            <w:tcW w:w="3009" w:type="dxa"/>
            <w:tcBorders>
              <w:left w:val="single" w:sz="4" w:space="0" w:color="000000"/>
              <w:bottom w:val="single" w:sz="4" w:space="0" w:color="000000"/>
            </w:tcBorders>
            <w:shd w:val="clear" w:color="auto" w:fill="auto"/>
          </w:tcPr>
          <w:p w:rsidR="00EF1271" w:rsidRDefault="007A22C7">
            <w:pPr>
              <w:widowControl w:val="0"/>
              <w:snapToGrid w:val="0"/>
              <w:spacing w:after="0" w:line="240" w:lineRule="auto"/>
              <w:contextualSpacing/>
              <w:rPr>
                <w:rFonts w:eastAsia="Arial" w:cstheme="minorHAnsi"/>
              </w:rPr>
            </w:pPr>
            <w:r>
              <w:rPr>
                <w:rFonts w:eastAsia="Times New Roman" w:cstheme="minorHAnsi"/>
              </w:rPr>
              <w:t>Field trip</w:t>
            </w:r>
          </w:p>
        </w:tc>
        <w:tc>
          <w:tcPr>
            <w:tcW w:w="2413" w:type="dxa"/>
            <w:tcBorders>
              <w:left w:val="single" w:sz="4" w:space="0" w:color="000000"/>
              <w:bottom w:val="single" w:sz="4" w:space="0" w:color="000000"/>
            </w:tcBorders>
            <w:shd w:val="clear" w:color="auto" w:fill="auto"/>
          </w:tcPr>
          <w:p w:rsidR="00EF1271" w:rsidRDefault="007A22C7">
            <w:pPr>
              <w:widowControl w:val="0"/>
              <w:snapToGrid w:val="0"/>
              <w:spacing w:after="0" w:line="240" w:lineRule="auto"/>
              <w:contextualSpacing/>
              <w:rPr>
                <w:rFonts w:eastAsia="Arial" w:cstheme="minorHAnsi"/>
              </w:rPr>
            </w:pPr>
            <w:r>
              <w:rPr>
                <w:rFonts w:cstheme="minorHAnsi"/>
              </w:rPr>
              <w:t>IN PERSON</w:t>
            </w:r>
          </w:p>
        </w:tc>
        <w:tc>
          <w:tcPr>
            <w:tcW w:w="2411" w:type="dxa"/>
            <w:tcBorders>
              <w:left w:val="single" w:sz="4" w:space="0" w:color="000000"/>
              <w:bottom w:val="single" w:sz="4" w:space="0" w:color="000000"/>
            </w:tcBorders>
            <w:shd w:val="clear" w:color="auto" w:fill="auto"/>
          </w:tcPr>
          <w:p w:rsidR="00EF1271" w:rsidRDefault="007A22C7">
            <w:pPr>
              <w:widowControl w:val="0"/>
              <w:snapToGrid w:val="0"/>
              <w:spacing w:after="0" w:line="240" w:lineRule="auto"/>
              <w:contextualSpacing/>
              <w:rPr>
                <w:rFonts w:eastAsia="Arial" w:cstheme="minorHAnsi"/>
              </w:rPr>
            </w:pPr>
            <w:r>
              <w:rPr>
                <w:rFonts w:cstheme="minorHAnsi"/>
              </w:rPr>
              <w:t>0</w:t>
            </w:r>
          </w:p>
        </w:tc>
        <w:tc>
          <w:tcPr>
            <w:tcW w:w="1973" w:type="dxa"/>
            <w:gridSpan w:val="2"/>
            <w:tcBorders>
              <w:left w:val="single" w:sz="4" w:space="0" w:color="000000"/>
              <w:bottom w:val="single" w:sz="4" w:space="0" w:color="000000"/>
              <w:right w:val="single" w:sz="4" w:space="0" w:color="000000"/>
            </w:tcBorders>
            <w:shd w:val="clear" w:color="auto" w:fill="auto"/>
          </w:tcPr>
          <w:p w:rsidR="00EF1271" w:rsidRDefault="007A22C7">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10</w:t>
            </w:r>
          </w:p>
        </w:tc>
      </w:tr>
      <w:tr w:rsidR="00EF1271">
        <w:tc>
          <w:tcPr>
            <w:tcW w:w="3009" w:type="dxa"/>
            <w:tcBorders>
              <w:left w:val="single" w:sz="4" w:space="0" w:color="000000"/>
              <w:bottom w:val="single" w:sz="4" w:space="0" w:color="000000"/>
            </w:tcBorders>
            <w:shd w:val="clear" w:color="auto" w:fill="auto"/>
          </w:tcPr>
          <w:p w:rsidR="00EF1271" w:rsidRDefault="007A22C7">
            <w:pPr>
              <w:widowControl w:val="0"/>
              <w:snapToGrid w:val="0"/>
              <w:spacing w:after="0" w:line="240" w:lineRule="auto"/>
              <w:contextualSpacing/>
              <w:rPr>
                <w:rFonts w:eastAsia="Arial" w:cstheme="minorHAnsi"/>
              </w:rPr>
            </w:pPr>
            <w:r>
              <w:rPr>
                <w:rFonts w:eastAsia="Times New Roman" w:cstheme="minorHAnsi"/>
              </w:rPr>
              <w:t>Independent student activities</w:t>
            </w:r>
          </w:p>
        </w:tc>
        <w:tc>
          <w:tcPr>
            <w:tcW w:w="2413" w:type="dxa"/>
            <w:tcBorders>
              <w:left w:val="single" w:sz="4" w:space="0" w:color="000000"/>
              <w:bottom w:val="single" w:sz="4" w:space="0" w:color="000000"/>
            </w:tcBorders>
            <w:shd w:val="clear" w:color="auto" w:fill="auto"/>
          </w:tcPr>
          <w:p w:rsidR="00EF1271" w:rsidRDefault="007A22C7">
            <w:pPr>
              <w:widowControl w:val="0"/>
              <w:snapToGrid w:val="0"/>
              <w:spacing w:after="0" w:line="240" w:lineRule="auto"/>
              <w:contextualSpacing/>
              <w:rPr>
                <w:rFonts w:eastAsia="Arial" w:cstheme="minorHAnsi"/>
              </w:rPr>
            </w:pPr>
            <w:r>
              <w:rPr>
                <w:rFonts w:cstheme="minorHAnsi"/>
              </w:rPr>
              <w:t>TO BE DETERMINED</w:t>
            </w:r>
          </w:p>
        </w:tc>
        <w:tc>
          <w:tcPr>
            <w:tcW w:w="2411" w:type="dxa"/>
            <w:tcBorders>
              <w:left w:val="single" w:sz="4" w:space="0" w:color="000000"/>
              <w:bottom w:val="single" w:sz="4" w:space="0" w:color="000000"/>
            </w:tcBorders>
            <w:shd w:val="clear" w:color="auto" w:fill="auto"/>
          </w:tcPr>
          <w:p w:rsidR="00EF1271" w:rsidRDefault="007A22C7">
            <w:pPr>
              <w:widowControl w:val="0"/>
              <w:snapToGrid w:val="0"/>
              <w:spacing w:after="0" w:line="240" w:lineRule="auto"/>
              <w:contextualSpacing/>
              <w:rPr>
                <w:rFonts w:eastAsia="Arial" w:cstheme="minorHAnsi"/>
              </w:rPr>
            </w:pPr>
            <w:r>
              <w:rPr>
                <w:rFonts w:cstheme="minorHAnsi"/>
              </w:rPr>
              <w:t>45</w:t>
            </w:r>
          </w:p>
        </w:tc>
        <w:tc>
          <w:tcPr>
            <w:tcW w:w="1973" w:type="dxa"/>
            <w:gridSpan w:val="2"/>
            <w:tcBorders>
              <w:left w:val="single" w:sz="4" w:space="0" w:color="000000"/>
              <w:bottom w:val="single" w:sz="4" w:space="0" w:color="000000"/>
              <w:right w:val="single" w:sz="4" w:space="0" w:color="000000"/>
            </w:tcBorders>
            <w:shd w:val="clear" w:color="auto" w:fill="auto"/>
          </w:tcPr>
          <w:p w:rsidR="00EF1271" w:rsidRDefault="007A22C7">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0</w:t>
            </w:r>
          </w:p>
        </w:tc>
      </w:tr>
      <w:tr w:rsidR="00EF1271">
        <w:tc>
          <w:tcPr>
            <w:tcW w:w="9806" w:type="dxa"/>
            <w:gridSpan w:val="5"/>
            <w:tcBorders>
              <w:left w:val="single" w:sz="4" w:space="0" w:color="000000"/>
              <w:bottom w:val="single" w:sz="4" w:space="0" w:color="000000"/>
              <w:right w:val="single" w:sz="4" w:space="0" w:color="000000"/>
            </w:tcBorders>
            <w:shd w:val="clear" w:color="auto" w:fill="BFBFBF" w:themeFill="background1" w:themeFillShade="BF"/>
          </w:tcPr>
          <w:p w:rsidR="00EF1271" w:rsidRDefault="007A22C7">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ASSESSMENT SYSTEM</w:t>
            </w:r>
          </w:p>
        </w:tc>
      </w:tr>
      <w:tr w:rsidR="00EF1271">
        <w:tc>
          <w:tcPr>
            <w:tcW w:w="9806" w:type="dxa"/>
            <w:gridSpan w:val="5"/>
            <w:tcBorders>
              <w:left w:val="single" w:sz="4" w:space="0" w:color="000000"/>
              <w:bottom w:val="single" w:sz="4" w:space="0" w:color="000000"/>
              <w:right w:val="single" w:sz="4" w:space="0" w:color="000000"/>
            </w:tcBorders>
            <w:shd w:val="clear" w:color="auto" w:fill="auto"/>
          </w:tcPr>
          <w:p w:rsidR="00EF1271" w:rsidRDefault="00EF1271">
            <w:pPr>
              <w:widowControl w:val="0"/>
              <w:spacing w:after="0"/>
              <w:contextualSpacing/>
              <w:rPr>
                <w:rFonts w:eastAsia="NSimSun" w:cstheme="minorHAnsi"/>
                <w:b/>
                <w:color w:val="000000"/>
                <w:kern w:val="2"/>
                <w:sz w:val="24"/>
                <w:szCs w:val="24"/>
                <w:lang w:eastAsia="zh-CN" w:bidi="hi-IN"/>
              </w:rPr>
            </w:pPr>
          </w:p>
        </w:tc>
      </w:tr>
      <w:tr w:rsidR="00EF1271">
        <w:trPr>
          <w:trHeight w:val="75"/>
        </w:trPr>
        <w:tc>
          <w:tcPr>
            <w:tcW w:w="7937" w:type="dxa"/>
            <w:gridSpan w:val="4"/>
            <w:tcBorders>
              <w:left w:val="single" w:sz="4" w:space="0" w:color="000000"/>
              <w:bottom w:val="single" w:sz="4" w:space="0" w:color="000000"/>
              <w:right w:val="single" w:sz="4" w:space="0" w:color="000000"/>
            </w:tcBorders>
            <w:shd w:val="clear" w:color="auto" w:fill="BFBFBF" w:themeFill="background1" w:themeFillShade="BF"/>
            <w:vAlign w:val="center"/>
          </w:tcPr>
          <w:p w:rsidR="00EF1271" w:rsidRDefault="007A22C7">
            <w:pPr>
              <w:widowControl w:val="0"/>
              <w:spacing w:after="0"/>
              <w:contextualSpacing/>
              <w:jc w:val="center"/>
              <w:rPr>
                <w:rFonts w:eastAsia="Tahoma" w:cs="Calibri"/>
                <w:b/>
                <w:sz w:val="26"/>
                <w:szCs w:val="26"/>
              </w:rPr>
            </w:pPr>
            <w:r>
              <w:rPr>
                <w:rFonts w:eastAsia="Tahoma" w:cstheme="minorHAnsi"/>
                <w:b/>
                <w:color w:val="000000"/>
                <w:kern w:val="2"/>
                <w:sz w:val="26"/>
                <w:szCs w:val="26"/>
                <w:lang w:eastAsia="zh-CN" w:bidi="hi-IN"/>
              </w:rPr>
              <w:t>Assessment strategies/methodologies</w:t>
            </w:r>
          </w:p>
        </w:tc>
        <w:tc>
          <w:tcPr>
            <w:tcW w:w="1869" w:type="dxa"/>
            <w:tcBorders>
              <w:left w:val="single" w:sz="4" w:space="0" w:color="000000"/>
              <w:bottom w:val="single" w:sz="4" w:space="0" w:color="000000"/>
              <w:right w:val="single" w:sz="4" w:space="0" w:color="000000"/>
            </w:tcBorders>
            <w:shd w:val="clear" w:color="auto" w:fill="BFBFBF" w:themeFill="background1" w:themeFillShade="BF"/>
            <w:tcMar>
              <w:top w:w="0" w:type="dxa"/>
              <w:left w:w="10" w:type="dxa"/>
              <w:bottom w:w="0" w:type="dxa"/>
              <w:right w:w="10" w:type="dxa"/>
            </w:tcMar>
            <w:vAlign w:val="center"/>
          </w:tcPr>
          <w:p w:rsidR="00EF1271" w:rsidRDefault="007A22C7">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Tahoma" w:cstheme="minorHAnsi"/>
                <w:b/>
              </w:rPr>
              <w:t>Percentage of total assessment</w:t>
            </w:r>
          </w:p>
        </w:tc>
      </w:tr>
      <w:tr w:rsidR="00EF1271">
        <w:trPr>
          <w:trHeight w:val="75"/>
        </w:trPr>
        <w:tc>
          <w:tcPr>
            <w:tcW w:w="7937" w:type="dxa"/>
            <w:gridSpan w:val="4"/>
            <w:tcBorders>
              <w:left w:val="single" w:sz="4" w:space="0" w:color="000000"/>
              <w:bottom w:val="single" w:sz="4" w:space="0" w:color="000000"/>
              <w:right w:val="single" w:sz="4" w:space="0" w:color="000000"/>
            </w:tcBorders>
            <w:shd w:val="clear" w:color="auto" w:fill="auto"/>
          </w:tcPr>
          <w:p w:rsidR="00EF1271" w:rsidRDefault="007A22C7">
            <w:pPr>
              <w:widowControl w:val="0"/>
              <w:snapToGrid w:val="0"/>
              <w:spacing w:after="0" w:line="240" w:lineRule="auto"/>
              <w:contextualSpacing/>
            </w:pPr>
            <w:r>
              <w:rPr>
                <w:rFonts w:eastAsia="Times New Roman" w:cstheme="minorHAnsi"/>
              </w:rPr>
              <w:t>Cases and practical scenarios</w:t>
            </w:r>
          </w:p>
        </w:tc>
        <w:tc>
          <w:tcPr>
            <w:tcW w:w="186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F1271" w:rsidRDefault="007A22C7">
            <w:pPr>
              <w:widowControl w:val="0"/>
              <w:snapToGrid w:val="0"/>
              <w:spacing w:after="0" w:line="240" w:lineRule="auto"/>
              <w:contextualSpacing/>
              <w:jc w:val="right"/>
            </w:pPr>
            <w:r>
              <w:rPr>
                <w:rFonts w:cstheme="minorHAnsi"/>
              </w:rPr>
              <w:t>40</w:t>
            </w:r>
          </w:p>
        </w:tc>
      </w:tr>
      <w:tr w:rsidR="00EF1271">
        <w:trPr>
          <w:trHeight w:val="75"/>
        </w:trPr>
        <w:tc>
          <w:tcPr>
            <w:tcW w:w="7937" w:type="dxa"/>
            <w:gridSpan w:val="4"/>
            <w:tcBorders>
              <w:left w:val="single" w:sz="4" w:space="0" w:color="000000"/>
              <w:bottom w:val="single" w:sz="4" w:space="0" w:color="000000"/>
              <w:right w:val="single" w:sz="4" w:space="0" w:color="000000"/>
            </w:tcBorders>
            <w:shd w:val="clear" w:color="auto" w:fill="auto"/>
          </w:tcPr>
          <w:p w:rsidR="00EF1271" w:rsidRDefault="007A22C7">
            <w:pPr>
              <w:widowControl w:val="0"/>
              <w:snapToGrid w:val="0"/>
              <w:spacing w:after="0" w:line="240" w:lineRule="auto"/>
              <w:contextualSpacing/>
            </w:pPr>
            <w:r>
              <w:rPr>
                <w:rFonts w:eastAsia="Times New Roman" w:cstheme="minorHAnsi"/>
              </w:rPr>
              <w:t>Internship reports/memoirs</w:t>
            </w:r>
          </w:p>
        </w:tc>
        <w:tc>
          <w:tcPr>
            <w:tcW w:w="186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F1271" w:rsidRDefault="007A22C7">
            <w:pPr>
              <w:widowControl w:val="0"/>
              <w:snapToGrid w:val="0"/>
              <w:spacing w:after="0" w:line="240" w:lineRule="auto"/>
              <w:contextualSpacing/>
              <w:jc w:val="right"/>
            </w:pPr>
            <w:r>
              <w:rPr>
                <w:rFonts w:cstheme="minorHAnsi"/>
              </w:rPr>
              <w:t>40</w:t>
            </w:r>
          </w:p>
        </w:tc>
      </w:tr>
      <w:tr w:rsidR="00EF1271">
        <w:trPr>
          <w:trHeight w:val="75"/>
        </w:trPr>
        <w:tc>
          <w:tcPr>
            <w:tcW w:w="7937" w:type="dxa"/>
            <w:gridSpan w:val="4"/>
            <w:tcBorders>
              <w:left w:val="single" w:sz="4" w:space="0" w:color="000000"/>
              <w:bottom w:val="single" w:sz="4" w:space="0" w:color="000000"/>
              <w:right w:val="single" w:sz="4" w:space="0" w:color="000000"/>
            </w:tcBorders>
            <w:shd w:val="clear" w:color="auto" w:fill="auto"/>
          </w:tcPr>
          <w:p w:rsidR="00EF1271" w:rsidRDefault="007A22C7">
            <w:pPr>
              <w:widowControl w:val="0"/>
              <w:snapToGrid w:val="0"/>
              <w:spacing w:after="0" w:line="240" w:lineRule="auto"/>
              <w:contextualSpacing/>
            </w:pPr>
            <w:r>
              <w:rPr>
                <w:rFonts w:eastAsia="Times New Roman" w:cstheme="minorHAnsi"/>
              </w:rPr>
              <w:t>Group work</w:t>
            </w:r>
          </w:p>
        </w:tc>
        <w:tc>
          <w:tcPr>
            <w:tcW w:w="186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F1271" w:rsidRDefault="007A22C7">
            <w:pPr>
              <w:widowControl w:val="0"/>
              <w:snapToGrid w:val="0"/>
              <w:spacing w:after="0" w:line="240" w:lineRule="auto"/>
              <w:contextualSpacing/>
              <w:jc w:val="right"/>
            </w:pPr>
            <w:r>
              <w:rPr>
                <w:rFonts w:cstheme="minorHAnsi"/>
              </w:rPr>
              <w:t>20</w:t>
            </w:r>
          </w:p>
        </w:tc>
      </w:tr>
      <w:tr w:rsidR="00EF1271">
        <w:tc>
          <w:tcPr>
            <w:tcW w:w="9806" w:type="dxa"/>
            <w:gridSpan w:val="5"/>
            <w:tcBorders>
              <w:left w:val="single" w:sz="4" w:space="0" w:color="000000"/>
              <w:bottom w:val="single" w:sz="4" w:space="0" w:color="000000"/>
              <w:right w:val="single" w:sz="4" w:space="0" w:color="000000"/>
            </w:tcBorders>
            <w:shd w:val="clear" w:color="auto" w:fill="CCCCCC"/>
          </w:tcPr>
          <w:p w:rsidR="00EF1271" w:rsidRDefault="007A22C7">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TEACHING RESOURCES AND MATERIALS</w:t>
            </w:r>
          </w:p>
        </w:tc>
      </w:tr>
      <w:tr w:rsidR="00EF1271">
        <w:tc>
          <w:tcPr>
            <w:tcW w:w="9806" w:type="dxa"/>
            <w:gridSpan w:val="5"/>
            <w:tcBorders>
              <w:left w:val="single" w:sz="4" w:space="0" w:color="000000"/>
              <w:bottom w:val="single" w:sz="4" w:space="0" w:color="000000"/>
              <w:right w:val="single" w:sz="4" w:space="0" w:color="000000"/>
            </w:tcBorders>
          </w:tcPr>
          <w:p w:rsidR="00EF1271" w:rsidRDefault="007A22C7">
            <w:pPr>
              <w:widowControl w:val="0"/>
              <w:spacing w:after="0"/>
              <w:contextualSpacing/>
              <w:rPr>
                <w:rFonts w:eastAsia="NSimSun" w:cstheme="minorHAnsi"/>
                <w:b/>
                <w:color w:val="000000"/>
                <w:kern w:val="2"/>
                <w:sz w:val="24"/>
                <w:szCs w:val="24"/>
                <w:lang w:eastAsia="zh-CN" w:bidi="hi-IN"/>
              </w:rPr>
            </w:pPr>
            <w:r>
              <w:t xml:space="preserve">Lectures    </w:t>
            </w:r>
            <w:r>
              <w:br/>
            </w:r>
            <w:r>
              <w:t>Group work and/or group presentations</w:t>
            </w:r>
            <w:r>
              <w:br/>
            </w:r>
            <w:r>
              <w:t>Field trips</w:t>
            </w:r>
            <w:r>
              <w:br/>
            </w:r>
            <w:r>
              <w:t>Debates</w:t>
            </w:r>
            <w:r>
              <w:br/>
            </w:r>
            <w:r>
              <w:br/>
            </w:r>
          </w:p>
        </w:tc>
      </w:tr>
      <w:tr w:rsidR="00EF1271">
        <w:tc>
          <w:tcPr>
            <w:tcW w:w="9806" w:type="dxa"/>
            <w:gridSpan w:val="5"/>
            <w:tcBorders>
              <w:left w:val="single" w:sz="4" w:space="0" w:color="000000"/>
              <w:bottom w:val="single" w:sz="4" w:space="0" w:color="000000"/>
              <w:right w:val="single" w:sz="4" w:space="0" w:color="000000"/>
            </w:tcBorders>
            <w:shd w:val="clear" w:color="auto" w:fill="CCCCCC"/>
          </w:tcPr>
          <w:p w:rsidR="00EF1271" w:rsidRDefault="007A22C7">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BIBLIOGRAPHY</w:t>
            </w:r>
          </w:p>
        </w:tc>
      </w:tr>
      <w:tr w:rsidR="00EF1271">
        <w:trPr>
          <w:trHeight w:val="522"/>
        </w:trPr>
        <w:tc>
          <w:tcPr>
            <w:tcW w:w="9806" w:type="dxa"/>
            <w:gridSpan w:val="5"/>
            <w:tcBorders>
              <w:top w:val="single" w:sz="4" w:space="0" w:color="000000"/>
              <w:left w:val="single" w:sz="4" w:space="0" w:color="000000"/>
              <w:bottom w:val="single" w:sz="4" w:space="0" w:color="000000"/>
              <w:right w:val="single" w:sz="4" w:space="0" w:color="000000"/>
            </w:tcBorders>
            <w:shd w:val="clear" w:color="auto" w:fill="auto"/>
          </w:tcPr>
          <w:p w:rsidR="00EF1271" w:rsidRDefault="007A22C7">
            <w:pPr>
              <w:widowControl w:val="0"/>
              <w:spacing w:after="0"/>
              <w:contextualSpacing/>
              <w:rPr>
                <w:rFonts w:eastAsia="NSimSun" w:cstheme="minorHAnsi"/>
                <w:b/>
                <w:color w:val="000000"/>
                <w:kern w:val="2"/>
                <w:sz w:val="24"/>
                <w:szCs w:val="24"/>
                <w:lang w:eastAsia="zh-CN" w:bidi="hi-IN"/>
              </w:rPr>
            </w:pPr>
            <w:r>
              <w:t>Alexander, M. 1980. Introduction to soil microbiology. AGT Editor. Mexico. (earlier and later versions available in English)</w:t>
            </w:r>
            <w:r>
              <w:br/>
            </w:r>
            <w:r>
              <w:t>Altieri, M. A. 1992. Biodiversity, Agroecology, and Pest Management. CETAL (ed.). Santiago, Ch</w:t>
            </w:r>
            <w:r>
              <w:t>ile.</w:t>
            </w:r>
            <w:r>
              <w:br/>
            </w:r>
            <w:r>
              <w:t>Altieri, M.A., Liebman, M. (eds.) 1988. Weed Management in Agroecosystems: Ecological Approaches. CRC Press. Florida.</w:t>
            </w:r>
            <w:r>
              <w:br/>
            </w:r>
            <w:r>
              <w:t>Carroll, C.R., Vandermeer, J.H., Rosset, P.M. (eds.) 1990. Agroecology. McGraw-Hill. New York.</w:t>
            </w:r>
            <w:r>
              <w:br/>
            </w:r>
            <w:r>
              <w:t>García Trujillo, R. (1996). Animals in</w:t>
            </w:r>
            <w:r>
              <w:t xml:space="preserve"> Agroecological Systems. Pub. ACAO-Pan Para el Mundo, Havana, Cuba.</w:t>
            </w:r>
            <w:r>
              <w:br/>
            </w:r>
            <w:r>
              <w:t>García Trujillo, R. (2001). Agroecological bases of extensive livestock farming in Spain. In (Labrador, J. and</w:t>
            </w:r>
            <w:r>
              <w:br/>
            </w:r>
            <w:r>
              <w:t>Altieri, M., eds.) Agroecology and Development: An Approach to the Agroecolog</w:t>
            </w:r>
            <w:r>
              <w:t>ical Foundations for the Sustainable Management of Mediterranean Agroecosystems. University of Extremadura - Mundi Prensa.</w:t>
            </w:r>
            <w:r>
              <w:br/>
            </w:r>
            <w:r>
              <w:t>Gliessman, S.R. 1997. Agroecology. Ecological Processes in Sustainable Agriculture. Ann Arbor Press.</w:t>
            </w:r>
            <w:r>
              <w:br/>
            </w:r>
            <w:r>
              <w:t>Chelsea. Gliessman, S.R. 1997. A</w:t>
            </w:r>
            <w:r>
              <w:t>groecology. Ecological Processes in Sustainable Agriculture. Ann Arbor Press. Chelsea.</w:t>
            </w:r>
            <w:r>
              <w:br/>
            </w:r>
            <w:r>
              <w:t>Gliessman, S.R., Rosemeyer, M.E. and Swezey, S. (eds.) 2009. Making the Conversion To Sustainable</w:t>
            </w:r>
            <w:r>
              <w:br/>
            </w:r>
            <w:r>
              <w:t>Agriculture: Principles, Processes, and Practices. Advances in Agroecol</w:t>
            </w:r>
            <w:r>
              <w:t>ogy. CRC/Lewis Publishers, Taylor &amp; Francis Group.</w:t>
            </w:r>
            <w:r>
              <w:br/>
            </w:r>
            <w:r>
              <w:t>González de Molina, M and Guzmán Casado, G.I. 2006. In the footsteps of unsustainability. Agriculture and the environment in historical perspective (18th-20th centuries). ICARIA. Barcelona. pp. 502.</w:t>
            </w:r>
            <w:r>
              <w:br/>
            </w:r>
            <w:r>
              <w:t>Guzmán</w:t>
            </w:r>
            <w:r>
              <w:t>, G.I. and Alonso, A.M. 2000. Agroecological transition on farms. In Introduction to Agroecology as sustainable rural development. Mundi-Prensa. Madrid. pp. 199-226.</w:t>
            </w:r>
            <w:r>
              <w:br/>
            </w:r>
            <w:r>
              <w:t>Guzmán, G.I., Arcos, J.M. and Alonso, A.M. 2006. Agriculture in the Vega de Granada: strat</w:t>
            </w:r>
            <w:r>
              <w:t>egies for the future associated with organic production. Ed: Provincial Council of</w:t>
            </w:r>
            <w:r>
              <w:br/>
            </w:r>
            <w:r>
              <w:t>Guzmán Casado, G.I. and Vecina Jiménez, A. 2001. Weed ecology and cultivation techniques. In The practice of organic farming and livestock breeding. Ed: Andalusian Committee</w:t>
            </w:r>
            <w:r>
              <w:t xml:space="preserve"> for Organic Agriculture. Seville. pp. 139-160.</w:t>
            </w:r>
            <w:r>
              <w:br/>
            </w:r>
            <w:r>
              <w:t>Guzmán Casado, G.I. and Alonso, A.M. 2007. Participatory research in agroecology: a tool for sustainable development. In Ecosistemas, 16(1)</w:t>
            </w:r>
            <w:r>
              <w:br/>
            </w:r>
            <w:r>
              <w:t>www.revistaecosistemas.net</w:t>
            </w:r>
            <w:r>
              <w:br/>
            </w:r>
            <w:r>
              <w:lastRenderedPageBreak/>
              <w:t>Liebman, M., Mohler, C.L. and Staver, C.P</w:t>
            </w:r>
            <w:r>
              <w:t>. 2001. Ecological management of agricultural weeds. Cambridge University Press, Cambridge, UK. pp: 532.</w:t>
            </w:r>
            <w:r>
              <w:br/>
            </w:r>
            <w:r>
              <w:t>Nicholls, C., Altieri, M.A. and Sánchez, J. 1999. Practical manual on biological control for sustainable agriculture. University of California, Berkele</w:t>
            </w:r>
            <w:r>
              <w:t>y.</w:t>
            </w:r>
            <w:r>
              <w:br/>
            </w:r>
            <w:r>
              <w:t>López García, D., Guzmán Casado, G.I. 2008. Design of methodologies for agroecological transition at the local level in the European context. In VIII Congress of the Spanish Society of Organic Agriculture. http://www.agroecologia.net/congresos-seae/bull</w:t>
            </w:r>
            <w:r>
              <w:t>as08/actasbullas/seae_bullas/verd/comunicaciones.html (The Agroecological Transition in Spain). Rural Development and Agroecology Thematic Area, document 3. Bullas (Murcia).</w:t>
            </w:r>
            <w:r>
              <w:br/>
            </w:r>
            <w:r>
              <w:t>Raupp, J et al. (ed.) 2006. Long-term Field Experiments in Organic Farming. ISOFAR</w:t>
            </w:r>
            <w:r>
              <w:t>. Scientific Series.</w:t>
            </w:r>
            <w:r>
              <w:br/>
            </w:r>
            <w:r>
              <w:br/>
            </w:r>
          </w:p>
        </w:tc>
      </w:tr>
      <w:tr w:rsidR="00EF1271">
        <w:trPr>
          <w:trHeight w:val="413"/>
        </w:trPr>
        <w:tc>
          <w:tcPr>
            <w:tcW w:w="9806" w:type="dxa"/>
            <w:gridSpan w:val="5"/>
            <w:tcBorders>
              <w:left w:val="single" w:sz="4" w:space="0" w:color="000000"/>
              <w:bottom w:val="single" w:sz="4" w:space="0" w:color="000000"/>
              <w:right w:val="single" w:sz="4" w:space="0" w:color="000000"/>
            </w:tcBorders>
            <w:shd w:val="clear" w:color="auto" w:fill="CCCCCC"/>
          </w:tcPr>
          <w:p w:rsidR="00EF1271" w:rsidRDefault="007A22C7">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lastRenderedPageBreak/>
              <w:t>CONTINGENCY PLAN</w:t>
            </w:r>
          </w:p>
        </w:tc>
      </w:tr>
      <w:tr w:rsidR="00EF1271">
        <w:trPr>
          <w:trHeight w:val="522"/>
        </w:trPr>
        <w:tc>
          <w:tcPr>
            <w:tcW w:w="9806" w:type="dxa"/>
            <w:gridSpan w:val="5"/>
            <w:tcBorders>
              <w:left w:val="single" w:sz="4" w:space="0" w:color="000000"/>
              <w:bottom w:val="single" w:sz="4" w:space="0" w:color="000000"/>
              <w:right w:val="single" w:sz="4" w:space="0" w:color="000000"/>
            </w:tcBorders>
            <w:shd w:val="clear" w:color="auto" w:fill="auto"/>
          </w:tcPr>
          <w:p w:rsidR="00EF1271" w:rsidRDefault="00EF1271">
            <w:pPr>
              <w:widowControl w:val="0"/>
              <w:spacing w:after="0"/>
              <w:contextualSpacing/>
              <w:rPr>
                <w:rFonts w:eastAsia="NSimSun" w:cstheme="minorHAnsi"/>
                <w:b/>
                <w:color w:val="000000"/>
                <w:kern w:val="2"/>
                <w:sz w:val="24"/>
                <w:szCs w:val="24"/>
                <w:lang w:eastAsia="zh-CN" w:bidi="hi-IN"/>
              </w:rPr>
            </w:pPr>
          </w:p>
        </w:tc>
      </w:tr>
    </w:tbl>
    <w:p w:rsidR="00EF1271" w:rsidRDefault="00EF1271">
      <w:pPr>
        <w:pStyle w:val="TableContents"/>
        <w:jc w:val="both"/>
        <w:rPr>
          <w:rFonts w:ascii="Serif" w:hAnsi="Serif"/>
        </w:rPr>
      </w:pPr>
    </w:p>
    <w:p w:rsidR="00EF1271" w:rsidRDefault="007A22C7">
      <w:pPr>
        <w:pStyle w:val="TableContents"/>
        <w:jc w:val="both"/>
        <w:rPr>
          <w:rFonts w:ascii="Serif" w:hAnsi="Serif"/>
        </w:rPr>
      </w:pPr>
      <w:r>
        <w:rPr>
          <w:rFonts w:ascii="Serif" w:hAnsi="Serif"/>
          <w:color w:val="00000A"/>
          <w:sz w:val="20"/>
          <w:szCs w:val="20"/>
        </w:rPr>
        <w:t>In Seville, on 15 July 2024.</w:t>
      </w:r>
    </w:p>
    <w:p w:rsidR="00EF1271" w:rsidRDefault="007A22C7">
      <w:pPr>
        <w:pStyle w:val="TableContents"/>
        <w:spacing w:line="312" w:lineRule="auto"/>
        <w:ind w:left="-567"/>
        <w:jc w:val="right"/>
        <w:rPr>
          <w:rFonts w:ascii="Serif" w:hAnsi="Serif"/>
        </w:rPr>
      </w:pPr>
      <w:r>
        <w:rPr>
          <w:rFonts w:ascii="Serif" w:hAnsi="Serif"/>
          <w:color w:val="00000A"/>
          <w:sz w:val="20"/>
          <w:szCs w:val="20"/>
        </w:rPr>
        <w:t>Signed: González de Molina, Manuel</w:t>
      </w:r>
    </w:p>
    <w:p w:rsidR="00EF1271" w:rsidRDefault="00EF1271">
      <w:pPr>
        <w:pStyle w:val="TableContents"/>
        <w:spacing w:line="312" w:lineRule="auto"/>
        <w:ind w:left="-567"/>
        <w:jc w:val="right"/>
        <w:rPr>
          <w:rFonts w:ascii="Serif" w:hAnsi="Serif"/>
        </w:rPr>
      </w:pPr>
    </w:p>
    <w:p w:rsidR="00EF1271" w:rsidRDefault="007A22C7">
      <w:pPr>
        <w:spacing w:before="120" w:after="120" w:line="312" w:lineRule="auto"/>
        <w:ind w:left="-567"/>
        <w:contextualSpacing/>
        <w:rPr>
          <w:sz w:val="10"/>
          <w:szCs w:val="10"/>
        </w:rPr>
      </w:pPr>
      <w:r>
        <w:rPr>
          <w:rFonts w:ascii="Times New Roman" w:hAnsi="Times New Roman"/>
          <w:sz w:val="10"/>
          <w:szCs w:val="10"/>
        </w:rPr>
        <w:t xml:space="preserve">            In accordance with current legislation on the protection of personal data (Regulation(EU) 2016/679 of 27 April), we inform you that the personal data you have provided will be processed by the INTERNATIONAL UNIVERSITY OF ANDALUSIA as the data c</w:t>
      </w:r>
      <w:r>
        <w:rPr>
          <w:rFonts w:ascii="Times New Roman" w:hAnsi="Times New Roman"/>
          <w:sz w:val="10"/>
          <w:szCs w:val="10"/>
        </w:rPr>
        <w:t>ontroller, with the Academic Management Department (Monasterio Santa María de las Cuevas, C / Américo Vespucio nº2. Isla de La Cartuja - 41092 - Seville), before whom you may exercise your rights of access, rectification, limitation, opposition or portabil</w:t>
      </w:r>
      <w:r>
        <w:rPr>
          <w:rFonts w:ascii="Times New Roman" w:hAnsi="Times New Roman"/>
          <w:sz w:val="10"/>
          <w:szCs w:val="10"/>
        </w:rPr>
        <w:t xml:space="preserve">ity, specifically indicating the reason for your request and attaching a copy of your identity document. The request may be made in writing on paper or by electronic means. </w:t>
      </w:r>
      <w:r>
        <w:rPr>
          <w:rFonts w:ascii="Times New Roman" w:hAnsi="Times New Roman"/>
          <w:sz w:val="10"/>
          <w:szCs w:val="10"/>
        </w:rPr>
        <w:br/>
      </w:r>
      <w:r>
        <w:rPr>
          <w:rFonts w:ascii="Times New Roman" w:hAnsi="Times New Roman"/>
          <w:sz w:val="10"/>
          <w:szCs w:val="10"/>
        </w:rPr>
        <w:br/>
        <w:t xml:space="preserve">            If you do not receive a response or your request is rejected, you may</w:t>
      </w:r>
      <w:r>
        <w:rPr>
          <w:rFonts w:ascii="Times New Roman" w:hAnsi="Times New Roman"/>
          <w:sz w:val="10"/>
          <w:szCs w:val="10"/>
        </w:rPr>
        <w:t xml:space="preserve"> contact the University's Data Protection Officer (rgpd@unia.es Tel. 954 462299) or lodge a complaint with the Spanish Data Protection Agency using the forms provided for this purpose on its website: https://sedeagpd.gob.es. </w:t>
      </w:r>
      <w:r>
        <w:rPr>
          <w:rFonts w:ascii="Times New Roman" w:hAnsi="Times New Roman"/>
          <w:sz w:val="10"/>
          <w:szCs w:val="10"/>
        </w:rPr>
        <w:br/>
      </w:r>
      <w:r>
        <w:rPr>
          <w:rFonts w:ascii="Times New Roman" w:hAnsi="Times New Roman"/>
          <w:sz w:val="10"/>
          <w:szCs w:val="10"/>
        </w:rPr>
        <w:br/>
        <w:t xml:space="preserve">            As the data contr</w:t>
      </w:r>
      <w:r>
        <w:rPr>
          <w:rFonts w:ascii="Times New Roman" w:hAnsi="Times New Roman"/>
          <w:sz w:val="10"/>
          <w:szCs w:val="10"/>
        </w:rPr>
        <w:t xml:space="preserve">oller, the University informs you that it will only process the personal data you provide for the following purposes: </w:t>
      </w:r>
      <w:r>
        <w:rPr>
          <w:rFonts w:ascii="Times New Roman" w:hAnsi="Times New Roman"/>
          <w:sz w:val="10"/>
          <w:szCs w:val="10"/>
        </w:rPr>
        <w:br/>
        <w:t xml:space="preserve">            a)    Academic and administrative management of: </w:t>
      </w:r>
      <w:r>
        <w:rPr>
          <w:rFonts w:ascii="Times New Roman" w:hAnsi="Times New Roman"/>
          <w:sz w:val="10"/>
          <w:szCs w:val="10"/>
        </w:rPr>
        <w:br/>
        <w:t xml:space="preserve">                • Participation in the admission and enrolment processes fo</w:t>
      </w:r>
      <w:r>
        <w:rPr>
          <w:rFonts w:ascii="Times New Roman" w:hAnsi="Times New Roman"/>
          <w:sz w:val="10"/>
          <w:szCs w:val="10"/>
        </w:rPr>
        <w:t xml:space="preserve">r official courses (Bachelor's, Master's and Doctorate) or continuing education at the International University of Andalusia. </w:t>
      </w:r>
      <w:r>
        <w:rPr>
          <w:rFonts w:ascii="Times New Roman" w:hAnsi="Times New Roman"/>
          <w:sz w:val="10"/>
          <w:szCs w:val="10"/>
        </w:rPr>
        <w:br/>
        <w:t xml:space="preserve">                •    Enrolment and/or registration as a student in any of the official degree programmes (bachelor's, master's an</w:t>
      </w:r>
      <w:r>
        <w:rPr>
          <w:rFonts w:ascii="Times New Roman" w:hAnsi="Times New Roman"/>
          <w:sz w:val="10"/>
          <w:szCs w:val="10"/>
        </w:rPr>
        <w:t xml:space="preserve">d doctoral), continuing education or other academic activities offered by the International University of Andalusia. </w:t>
      </w:r>
      <w:r>
        <w:rPr>
          <w:rFonts w:ascii="Times New Roman" w:hAnsi="Times New Roman"/>
          <w:sz w:val="10"/>
          <w:szCs w:val="10"/>
        </w:rPr>
        <w:br/>
        <w:t xml:space="preserve">                • Participation in calls for scholarships and study grants from the International University of Andalusia, the General Sta</w:t>
      </w:r>
      <w:r>
        <w:rPr>
          <w:rFonts w:ascii="Times New Roman" w:hAnsi="Times New Roman"/>
          <w:sz w:val="10"/>
          <w:szCs w:val="10"/>
        </w:rPr>
        <w:t xml:space="preserve">te Administration or the Autonomous Communities and other public or private entities. </w:t>
      </w:r>
      <w:r>
        <w:rPr>
          <w:rFonts w:ascii="Times New Roman" w:hAnsi="Times New Roman"/>
          <w:sz w:val="10"/>
          <w:szCs w:val="10"/>
        </w:rPr>
        <w:br/>
        <w:t xml:space="preserve">                • Participation in calls for national or international mobility programmes. </w:t>
      </w:r>
      <w:r>
        <w:rPr>
          <w:rFonts w:ascii="Times New Roman" w:hAnsi="Times New Roman"/>
          <w:sz w:val="10"/>
          <w:szCs w:val="10"/>
        </w:rPr>
        <w:br/>
        <w:t xml:space="preserve">                •    Obtaining and issuing official degrees, university-spec</w:t>
      </w:r>
      <w:r>
        <w:rPr>
          <w:rFonts w:ascii="Times New Roman" w:hAnsi="Times New Roman"/>
          <w:sz w:val="10"/>
          <w:szCs w:val="10"/>
        </w:rPr>
        <w:t xml:space="preserve">ific degrees and other academic qualifications. </w:t>
      </w:r>
      <w:r>
        <w:rPr>
          <w:rFonts w:ascii="Times New Roman" w:hAnsi="Times New Roman"/>
          <w:sz w:val="10"/>
          <w:szCs w:val="10"/>
        </w:rPr>
        <w:br/>
        <w:t xml:space="preserve">            b)    Management of your participation as a student in national or international internships and training activities in institutions, companies, organisations or other centres. </w:t>
      </w:r>
      <w:r>
        <w:rPr>
          <w:rFonts w:ascii="Times New Roman" w:hAnsi="Times New Roman"/>
          <w:sz w:val="10"/>
          <w:szCs w:val="10"/>
        </w:rPr>
        <w:br/>
        <w:t xml:space="preserve">            c) Us</w:t>
      </w:r>
      <w:r>
        <w:rPr>
          <w:rFonts w:ascii="Times New Roman" w:hAnsi="Times New Roman"/>
          <w:sz w:val="10"/>
          <w:szCs w:val="10"/>
        </w:rPr>
        <w:t xml:space="preserve">e of university services such as obtaining a university card, libraries, sports activities, or others. </w:t>
      </w:r>
      <w:r>
        <w:rPr>
          <w:rFonts w:ascii="Times New Roman" w:hAnsi="Times New Roman"/>
          <w:sz w:val="10"/>
          <w:szCs w:val="10"/>
        </w:rPr>
        <w:br/>
      </w:r>
      <w:r>
        <w:rPr>
          <w:rFonts w:ascii="Times New Roman" w:hAnsi="Times New Roman"/>
          <w:sz w:val="10"/>
          <w:szCs w:val="10"/>
        </w:rPr>
        <w:br/>
        <w:t xml:space="preserve">            The University is entitled to process this data as it is necessary for the execution of the legal relationship established between you and </w:t>
      </w:r>
      <w:r>
        <w:rPr>
          <w:rFonts w:ascii="Times New Roman" w:hAnsi="Times New Roman"/>
          <w:sz w:val="10"/>
          <w:szCs w:val="10"/>
        </w:rPr>
        <w:t xml:space="preserve">the University and for the University to comply with its legal obligations established in Organic Law 6/2001 on Universities. </w:t>
      </w:r>
      <w:r>
        <w:rPr>
          <w:rFonts w:ascii="Times New Roman" w:hAnsi="Times New Roman"/>
          <w:sz w:val="10"/>
          <w:szCs w:val="10"/>
        </w:rPr>
        <w:br/>
        <w:t xml:space="preserve">            You are responsible for the accuracy of the personal data you have provided to the University and for keeping it up t</w:t>
      </w:r>
      <w:r>
        <w:rPr>
          <w:rFonts w:ascii="Times New Roman" w:hAnsi="Times New Roman"/>
          <w:sz w:val="10"/>
          <w:szCs w:val="10"/>
        </w:rPr>
        <w:t xml:space="preserve">o date. </w:t>
      </w:r>
      <w:r>
        <w:rPr>
          <w:rFonts w:ascii="Times New Roman" w:hAnsi="Times New Roman"/>
          <w:sz w:val="10"/>
          <w:szCs w:val="10"/>
        </w:rPr>
        <w:br/>
        <w:t xml:space="preserve">            The University will communicate the personal data that is essential, and never in any other case, to the following categories of recipients: </w:t>
      </w:r>
      <w:r>
        <w:rPr>
          <w:rFonts w:ascii="Times New Roman" w:hAnsi="Times New Roman"/>
          <w:sz w:val="10"/>
          <w:szCs w:val="10"/>
        </w:rPr>
        <w:br/>
        <w:t xml:space="preserve">                •    Other public administrations and bodies for the exercise of their own po</w:t>
      </w:r>
      <w:r>
        <w:rPr>
          <w:rFonts w:ascii="Times New Roman" w:hAnsi="Times New Roman"/>
          <w:sz w:val="10"/>
          <w:szCs w:val="10"/>
        </w:rPr>
        <w:t xml:space="preserve">wers and in accordance with the purposes set out above (including, but not limited to, ministries with powers in education and science, other administrations, other universities or equivalent training centres for the management of transfers, and companies </w:t>
      </w:r>
      <w:r>
        <w:rPr>
          <w:rFonts w:ascii="Times New Roman" w:hAnsi="Times New Roman"/>
          <w:sz w:val="10"/>
          <w:szCs w:val="10"/>
        </w:rPr>
        <w:t xml:space="preserve">for the purpose of work placements). </w:t>
      </w:r>
      <w:r>
        <w:rPr>
          <w:rFonts w:ascii="Times New Roman" w:hAnsi="Times New Roman"/>
          <w:sz w:val="10"/>
          <w:szCs w:val="10"/>
        </w:rPr>
        <w:br/>
        <w:t xml:space="preserve">                •    To banking institutions for the management of payments and collections. </w:t>
      </w:r>
      <w:r>
        <w:rPr>
          <w:rFonts w:ascii="Times New Roman" w:hAnsi="Times New Roman"/>
          <w:sz w:val="10"/>
          <w:szCs w:val="10"/>
        </w:rPr>
        <w:br/>
        <w:t xml:space="preserve">                •    To public or private bodies by virtue of collaboration agreements or contracts, in accordance with the </w:t>
      </w:r>
      <w:r>
        <w:rPr>
          <w:rFonts w:ascii="Times New Roman" w:hAnsi="Times New Roman"/>
          <w:sz w:val="10"/>
          <w:szCs w:val="10"/>
        </w:rPr>
        <w:t xml:space="preserve">provisions of current legislation on data protection. </w:t>
      </w:r>
      <w:r>
        <w:rPr>
          <w:rFonts w:ascii="Times New Roman" w:hAnsi="Times New Roman"/>
          <w:sz w:val="10"/>
          <w:szCs w:val="10"/>
        </w:rPr>
        <w:br/>
        <w:t xml:space="preserve">                • To the University's own services that are appropriate for managing the use of the university services offered. </w:t>
      </w:r>
      <w:r>
        <w:rPr>
          <w:rFonts w:ascii="Times New Roman" w:hAnsi="Times New Roman"/>
          <w:sz w:val="10"/>
          <w:szCs w:val="10"/>
        </w:rPr>
        <w:br/>
        <w:t xml:space="preserve">            Your personal data will be processed and stored by the Univ</w:t>
      </w:r>
      <w:r>
        <w:rPr>
          <w:rFonts w:ascii="Times New Roman" w:hAnsi="Times New Roman"/>
          <w:sz w:val="10"/>
          <w:szCs w:val="10"/>
        </w:rPr>
        <w:t xml:space="preserve">ersity in accordance with current data protection legislation, and will then become part of the University Historical Archive, after being purged, in accordance with the provisions of the legislation on Historical Heritage. </w:t>
      </w:r>
      <w:r>
        <w:rPr>
          <w:rFonts w:ascii="Times New Roman" w:hAnsi="Times New Roman"/>
          <w:sz w:val="10"/>
          <w:szCs w:val="10"/>
        </w:rPr>
        <w:br/>
      </w:r>
      <w:r>
        <w:rPr>
          <w:rFonts w:ascii="Times New Roman" w:hAnsi="Times New Roman"/>
          <w:sz w:val="10"/>
          <w:szCs w:val="10"/>
        </w:rPr>
        <w:br/>
        <w:t xml:space="preserve">            The University onl</w:t>
      </w:r>
      <w:r>
        <w:rPr>
          <w:rFonts w:ascii="Times New Roman" w:hAnsi="Times New Roman"/>
          <w:sz w:val="10"/>
          <w:szCs w:val="10"/>
        </w:rPr>
        <w:t>y envisages the transfer of data to third countries in the event of your participation as a student in any of the international training programmes or scholarships. The transfer will be carried out in accordance with the guidelines established in this rega</w:t>
      </w:r>
      <w:r>
        <w:rPr>
          <w:rFonts w:ascii="Times New Roman" w:hAnsi="Times New Roman"/>
          <w:sz w:val="10"/>
          <w:szCs w:val="10"/>
        </w:rPr>
        <w:t xml:space="preserve">rd by the European Data Protection Regulation and implementing regulations. </w:t>
      </w:r>
      <w:r>
        <w:rPr>
          <w:rFonts w:ascii="Times New Roman" w:hAnsi="Times New Roman"/>
          <w:sz w:val="10"/>
          <w:szCs w:val="10"/>
        </w:rPr>
        <w:br/>
        <w:t xml:space="preserve">            The Data Protection Service of the International University of Andalusia has a website that includes legislation, information and models relating to Personal Data Prot</w:t>
      </w:r>
      <w:r>
        <w:rPr>
          <w:rFonts w:ascii="Times New Roman" w:hAnsi="Times New Roman"/>
          <w:sz w:val="10"/>
          <w:szCs w:val="10"/>
        </w:rPr>
        <w:t>ection, which can be accessed via the following link:  https://www.unia.es/protecciondatos</w:t>
      </w:r>
    </w:p>
    <w:sectPr w:rsidR="00EF1271">
      <w:headerReference w:type="default" r:id="rId12"/>
      <w:footerReference w:type="default" r:id="rId13"/>
      <w:pgSz w:w="11906" w:h="16838"/>
      <w:pgMar w:top="1418" w:right="1701" w:bottom="1418" w:left="1701" w:header="567"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2C7" w:rsidRDefault="007A22C7">
      <w:pPr>
        <w:spacing w:after="0" w:line="240" w:lineRule="auto"/>
      </w:pPr>
      <w:r>
        <w:separator/>
      </w:r>
    </w:p>
  </w:endnote>
  <w:endnote w:type="continuationSeparator" w:id="0">
    <w:p w:rsidR="007A22C7" w:rsidRDefault="007A2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Mono">
    <w:altName w:val="Courier New"/>
    <w:charset w:val="01"/>
    <w:family w:val="roman"/>
    <w:pitch w:val="variable"/>
  </w:font>
  <w:font w:name="OpenSymbol">
    <w:altName w:val="Times New Roman"/>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rif">
    <w:altName w:val="Times New Roman"/>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311391"/>
      <w:docPartObj>
        <w:docPartGallery w:val="Page Numbers (Bottom of Page)"/>
        <w:docPartUnique/>
      </w:docPartObj>
    </w:sdtPr>
    <w:sdtEndPr/>
    <w:sdtContent>
      <w:p w:rsidR="00EF1271" w:rsidRDefault="007A22C7">
        <w:pPr>
          <w:pStyle w:val="Footer"/>
          <w:jc w:val="center"/>
          <w:rPr>
            <w:sz w:val="18"/>
            <w:szCs w:val="18"/>
          </w:rPr>
        </w:pPr>
        <w:r>
          <w:rPr>
            <w:sz w:val="18"/>
            <w:szCs w:val="18"/>
          </w:rPr>
          <w:fldChar w:fldCharType="begin"/>
        </w:r>
        <w:r>
          <w:rPr>
            <w:sz w:val="18"/>
            <w:szCs w:val="18"/>
          </w:rPr>
          <w:instrText>PAGE</w:instrText>
        </w:r>
        <w:r>
          <w:rPr>
            <w:sz w:val="18"/>
            <w:szCs w:val="18"/>
          </w:rPr>
          <w:fldChar w:fldCharType="separate"/>
        </w:r>
        <w:r w:rsidR="004D4CD0">
          <w:rPr>
            <w:noProof/>
            <w:sz w:val="18"/>
            <w:szCs w:val="18"/>
          </w:rPr>
          <w:t>2</w:t>
        </w:r>
        <w:r>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14652"/>
      <w:docPartObj>
        <w:docPartGallery w:val="Page Numbers (Bottom of Page)"/>
        <w:docPartUnique/>
      </w:docPartObj>
    </w:sdtPr>
    <w:sdtEndPr/>
    <w:sdtContent>
      <w:p w:rsidR="00EF1271" w:rsidRDefault="007A22C7">
        <w:pPr>
          <w:pStyle w:val="Footer"/>
          <w:jc w:val="center"/>
          <w:rPr>
            <w:sz w:val="18"/>
            <w:szCs w:val="18"/>
          </w:rPr>
        </w:pPr>
        <w:r>
          <w:rPr>
            <w:sz w:val="18"/>
            <w:szCs w:val="18"/>
          </w:rPr>
          <w:fldChar w:fldCharType="begin"/>
        </w:r>
        <w:r>
          <w:rPr>
            <w:sz w:val="18"/>
            <w:szCs w:val="18"/>
          </w:rPr>
          <w:instrText>PAGE</w:instrText>
        </w:r>
        <w:r>
          <w:rPr>
            <w:sz w:val="18"/>
            <w:szCs w:val="18"/>
          </w:rPr>
          <w:fldChar w:fldCharType="separate"/>
        </w:r>
        <w:r w:rsidR="004D4CD0">
          <w:rPr>
            <w:noProof/>
            <w:sz w:val="18"/>
            <w:szCs w:val="18"/>
          </w:rPr>
          <w:t>3</w:t>
        </w:r>
        <w:r>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2C7" w:rsidRDefault="007A22C7">
      <w:pPr>
        <w:spacing w:after="0" w:line="240" w:lineRule="auto"/>
      </w:pPr>
      <w:r>
        <w:separator/>
      </w:r>
    </w:p>
  </w:footnote>
  <w:footnote w:type="continuationSeparator" w:id="0">
    <w:p w:rsidR="007A22C7" w:rsidRDefault="007A2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271" w:rsidRDefault="00EF12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8" w:type="dxa"/>
      <w:tblInd w:w="-520" w:type="dxa"/>
      <w:tblLook w:val="0000" w:firstRow="0" w:lastRow="0" w:firstColumn="0" w:lastColumn="0" w:noHBand="0" w:noVBand="0"/>
    </w:tblPr>
    <w:tblGrid>
      <w:gridCol w:w="4419"/>
      <w:gridCol w:w="5389"/>
    </w:tblGrid>
    <w:tr w:rsidR="00EF1271">
      <w:tc>
        <w:tcPr>
          <w:tcW w:w="4419" w:type="dxa"/>
          <w:shd w:val="clear" w:color="auto" w:fill="auto"/>
          <w:vAlign w:val="center"/>
        </w:tcPr>
        <w:p w:rsidR="00EF1271" w:rsidRDefault="007A22C7">
          <w:pPr>
            <w:widowControl w:val="0"/>
            <w:suppressLineNumbers/>
            <w:tabs>
              <w:tab w:val="center" w:pos="4819"/>
              <w:tab w:val="right" w:pos="9638"/>
            </w:tabs>
            <w:spacing w:after="0" w:line="240" w:lineRule="auto"/>
            <w:textAlignment w:val="baseline"/>
            <w:rPr>
              <w:rFonts w:ascii="Times New Roman" w:eastAsia="Times New Roman" w:hAnsi="Times New Roman" w:cs="Times New Roman"/>
              <w:kern w:val="2"/>
              <w:sz w:val="20"/>
              <w:szCs w:val="20"/>
              <w:lang w:eastAsia="zh-CN"/>
            </w:rPr>
          </w:pPr>
          <w:r>
            <w:rPr>
              <w:rFonts w:ascii="Times New Roman" w:eastAsia="Times New Roman" w:hAnsi="Times New Roman" w:cs="Times New Roman"/>
              <w:noProof/>
              <w:kern w:val="2"/>
              <w:sz w:val="20"/>
              <w:szCs w:val="20"/>
              <w:lang w:val="en-GB" w:eastAsia="en-GB"/>
            </w:rPr>
            <w:drawing>
              <wp:anchor distT="0" distB="0" distL="0" distR="0" simplePos="0" relativeHeight="4" behindDoc="1" locked="0" layoutInCell="1" allowOverlap="1">
                <wp:simplePos x="0" y="0"/>
                <wp:positionH relativeFrom="column">
                  <wp:align>center</wp:align>
                </wp:positionH>
                <wp:positionV relativeFrom="paragraph">
                  <wp:posOffset>635</wp:posOffset>
                </wp:positionV>
                <wp:extent cx="2139950" cy="708660"/>
                <wp:effectExtent l="0" t="0" r="0" b="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
                        <a:stretch>
                          <a:fillRect/>
                        </a:stretch>
                      </pic:blipFill>
                      <pic:spPr bwMode="auto">
                        <a:xfrm>
                          <a:off x="0" y="0"/>
                          <a:ext cx="2139950" cy="708660"/>
                        </a:xfrm>
                        <a:prstGeom prst="rect">
                          <a:avLst/>
                        </a:prstGeom>
                      </pic:spPr>
                    </pic:pic>
                  </a:graphicData>
                </a:graphic>
              </wp:anchor>
            </w:drawing>
          </w:r>
        </w:p>
      </w:tc>
      <w:tc>
        <w:tcPr>
          <w:tcW w:w="5388" w:type="dxa"/>
          <w:shd w:val="clear" w:color="auto" w:fill="auto"/>
          <w:vAlign w:val="center"/>
        </w:tcPr>
        <w:p w:rsidR="00EF1271" w:rsidRDefault="007A22C7">
          <w:pPr>
            <w:widowControl w:val="0"/>
            <w:spacing w:before="480"/>
            <w:jc w:val="right"/>
            <w:rPr>
              <w:sz w:val="28"/>
              <w:szCs w:val="28"/>
            </w:rPr>
          </w:pPr>
          <w:r>
            <w:rPr>
              <w:rFonts w:eastAsia="NSimSun" w:cstheme="minorHAnsi"/>
              <w:b/>
              <w:color w:val="000000"/>
              <w:kern w:val="2"/>
              <w:sz w:val="28"/>
              <w:szCs w:val="28"/>
              <w:lang w:bidi="hi-IN"/>
            </w:rPr>
            <w:t xml:space="preserve">  TEACHING GUIDE</w:t>
          </w:r>
        </w:p>
      </w:tc>
    </w:tr>
  </w:tbl>
  <w:p w:rsidR="00EF1271" w:rsidRDefault="00EF1271">
    <w:pPr>
      <w:pStyle w:val="Header"/>
      <w:rPr>
        <w:rFonts w:eastAsia="NSimSun" w:cstheme="minorHAnsi"/>
        <w:b/>
        <w:color w:val="000000"/>
        <w:kern w:val="2"/>
        <w:sz w:val="28"/>
        <w:szCs w:val="28"/>
        <w:lang w:bidi="hi-I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271"/>
    <w:rsid w:val="004D4CD0"/>
    <w:rsid w:val="007A22C7"/>
    <w:rsid w:val="00EF1271"/>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661AB1-0079-4F2A-918E-4605E6806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D50"/>
    <w:pPr>
      <w:spacing w:after="160" w:line="259" w:lineRule="auto"/>
    </w:pPr>
    <w:rPr>
      <w:sz w:val="22"/>
    </w:rPr>
  </w:style>
  <w:style w:type="paragraph" w:styleId="Heading1">
    <w:name w:val="heading 1"/>
    <w:basedOn w:val="Normal"/>
    <w:next w:val="Normal"/>
    <w:link w:val="Heading1Char"/>
    <w:qFormat/>
    <w:rsid w:val="00A938E0"/>
    <w:pPr>
      <w:keepNext/>
      <w:spacing w:after="0" w:line="240" w:lineRule="auto"/>
      <w:jc w:val="center"/>
      <w:textAlignment w:val="baseline"/>
      <w:outlineLvl w:val="0"/>
    </w:pPr>
    <w:rPr>
      <w:rFonts w:ascii="Times New Roman" w:eastAsia="Times New Roman" w:hAnsi="Times New Roman" w:cs="Times New Roman"/>
      <w:b/>
      <w:kern w:val="2"/>
      <w:sz w:val="20"/>
      <w:szCs w:val="20"/>
      <w:lang w:eastAsia="zh-CN"/>
    </w:rPr>
  </w:style>
  <w:style w:type="paragraph" w:styleId="Heading2">
    <w:name w:val="heading 2"/>
    <w:basedOn w:val="Normal"/>
    <w:next w:val="Normal"/>
    <w:link w:val="Heading2Char"/>
    <w:qFormat/>
    <w:rsid w:val="00A938E0"/>
    <w:pPr>
      <w:keepNext/>
      <w:spacing w:before="240" w:after="60" w:line="240" w:lineRule="auto"/>
      <w:textAlignment w:val="baseline"/>
      <w:outlineLvl w:val="1"/>
    </w:pPr>
    <w:rPr>
      <w:rFonts w:ascii="Cambria" w:eastAsia="Times New Roman" w:hAnsi="Cambria" w:cs="Times New Roman"/>
      <w:b/>
      <w:bCs/>
      <w:i/>
      <w:iCs/>
      <w:kern w:val="2"/>
      <w:sz w:val="28"/>
      <w:szCs w:val="28"/>
      <w:lang w:eastAsia="zh-CN"/>
    </w:rPr>
  </w:style>
  <w:style w:type="paragraph" w:styleId="Heading3">
    <w:name w:val="heading 3"/>
    <w:basedOn w:val="Normal"/>
    <w:next w:val="Normal"/>
    <w:link w:val="Heading3Char"/>
    <w:qFormat/>
    <w:rsid w:val="00A938E0"/>
    <w:pPr>
      <w:keepNext/>
      <w:spacing w:before="240" w:after="60" w:line="240" w:lineRule="auto"/>
      <w:textAlignment w:val="baseline"/>
      <w:outlineLvl w:val="2"/>
    </w:pPr>
    <w:rPr>
      <w:rFonts w:ascii="Cambria" w:eastAsia="Times New Roman" w:hAnsi="Cambria" w:cs="Times New Roman"/>
      <w:b/>
      <w:bCs/>
      <w:kern w:val="2"/>
      <w:sz w:val="26"/>
      <w:szCs w:val="26"/>
      <w:lang w:eastAsia="zh-CN"/>
    </w:rPr>
  </w:style>
  <w:style w:type="paragraph" w:styleId="Heading4">
    <w:name w:val="heading 4"/>
    <w:basedOn w:val="Normal"/>
    <w:next w:val="Normal"/>
    <w:link w:val="Heading4Char"/>
    <w:qFormat/>
    <w:rsid w:val="00A938E0"/>
    <w:pPr>
      <w:keepNext/>
      <w:spacing w:after="0" w:line="240" w:lineRule="auto"/>
      <w:textAlignment w:val="baseline"/>
      <w:outlineLvl w:val="3"/>
    </w:pPr>
    <w:rPr>
      <w:rFonts w:ascii="Times New Roman" w:eastAsia="Times New Roman" w:hAnsi="Times New Roman" w:cs="Times New Roman"/>
      <w:b/>
      <w:kern w:val="2"/>
      <w:szCs w:val="20"/>
      <w:lang w:eastAsia="zh-CN"/>
    </w:rPr>
  </w:style>
  <w:style w:type="paragraph" w:styleId="Heading5">
    <w:name w:val="heading 5"/>
    <w:basedOn w:val="Normal"/>
    <w:next w:val="Normal"/>
    <w:link w:val="Heading5Char"/>
    <w:qFormat/>
    <w:rsid w:val="00A938E0"/>
    <w:pPr>
      <w:keepNext/>
      <w:spacing w:after="0" w:line="240" w:lineRule="auto"/>
      <w:jc w:val="both"/>
      <w:textAlignment w:val="baseline"/>
      <w:outlineLvl w:val="4"/>
    </w:pPr>
    <w:rPr>
      <w:rFonts w:ascii="Times New Roman" w:eastAsia="Times New Roman" w:hAnsi="Times New Roman" w:cs="Times New Roman"/>
      <w:b/>
      <w:kern w:val="2"/>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938E0"/>
  </w:style>
  <w:style w:type="character" w:customStyle="1" w:styleId="FooterChar">
    <w:name w:val="Footer Char"/>
    <w:basedOn w:val="DefaultParagraphFont"/>
    <w:link w:val="Footer"/>
    <w:uiPriority w:val="99"/>
    <w:qFormat/>
    <w:rsid w:val="00A938E0"/>
  </w:style>
  <w:style w:type="character" w:customStyle="1" w:styleId="Heading1Char">
    <w:name w:val="Heading 1 Char"/>
    <w:basedOn w:val="DefaultParagraphFont"/>
    <w:link w:val="Heading1"/>
    <w:qFormat/>
    <w:rsid w:val="00A938E0"/>
    <w:rPr>
      <w:rFonts w:ascii="Times New Roman" w:eastAsia="Times New Roman" w:hAnsi="Times New Roman" w:cs="Times New Roman"/>
      <w:b/>
      <w:kern w:val="2"/>
      <w:sz w:val="20"/>
      <w:szCs w:val="20"/>
      <w:lang w:eastAsia="zh-CN"/>
    </w:rPr>
  </w:style>
  <w:style w:type="character" w:customStyle="1" w:styleId="Heading2Char">
    <w:name w:val="Heading 2 Char"/>
    <w:basedOn w:val="DefaultParagraphFont"/>
    <w:link w:val="Heading2"/>
    <w:qFormat/>
    <w:rsid w:val="00A938E0"/>
    <w:rPr>
      <w:rFonts w:ascii="Cambria" w:eastAsia="Times New Roman" w:hAnsi="Cambria" w:cs="Times New Roman"/>
      <w:b/>
      <w:bCs/>
      <w:i/>
      <w:iCs/>
      <w:kern w:val="2"/>
      <w:sz w:val="28"/>
      <w:szCs w:val="28"/>
      <w:lang w:eastAsia="zh-CN"/>
    </w:rPr>
  </w:style>
  <w:style w:type="character" w:customStyle="1" w:styleId="Heading3Char">
    <w:name w:val="Heading 3 Char"/>
    <w:basedOn w:val="DefaultParagraphFont"/>
    <w:link w:val="Heading3"/>
    <w:qFormat/>
    <w:rsid w:val="00A938E0"/>
    <w:rPr>
      <w:rFonts w:ascii="Cambria" w:eastAsia="Times New Roman" w:hAnsi="Cambria" w:cs="Times New Roman"/>
      <w:b/>
      <w:bCs/>
      <w:kern w:val="2"/>
      <w:sz w:val="26"/>
      <w:szCs w:val="26"/>
      <w:lang w:eastAsia="zh-CN"/>
    </w:rPr>
  </w:style>
  <w:style w:type="character" w:customStyle="1" w:styleId="Heading4Char">
    <w:name w:val="Heading 4 Char"/>
    <w:basedOn w:val="DefaultParagraphFont"/>
    <w:link w:val="Heading4"/>
    <w:qFormat/>
    <w:rsid w:val="00A938E0"/>
    <w:rPr>
      <w:rFonts w:ascii="Times New Roman" w:eastAsia="Times New Roman" w:hAnsi="Times New Roman" w:cs="Times New Roman"/>
      <w:b/>
      <w:kern w:val="2"/>
      <w:szCs w:val="20"/>
      <w:lang w:eastAsia="zh-CN"/>
    </w:rPr>
  </w:style>
  <w:style w:type="character" w:customStyle="1" w:styleId="Heading5Char">
    <w:name w:val="Heading 5 Char"/>
    <w:basedOn w:val="DefaultParagraphFont"/>
    <w:link w:val="Heading5"/>
    <w:qFormat/>
    <w:rsid w:val="00A938E0"/>
    <w:rPr>
      <w:rFonts w:ascii="Times New Roman" w:eastAsia="Times New Roman" w:hAnsi="Times New Roman" w:cs="Times New Roman"/>
      <w:b/>
      <w:kern w:val="2"/>
      <w:sz w:val="20"/>
      <w:szCs w:val="20"/>
      <w:lang w:eastAsia="zh-CN"/>
    </w:rPr>
  </w:style>
  <w:style w:type="character" w:customStyle="1" w:styleId="BalloonTextChar">
    <w:name w:val="Balloon Text Char"/>
    <w:basedOn w:val="DefaultParagraphFont"/>
    <w:link w:val="BalloonText"/>
    <w:uiPriority w:val="99"/>
    <w:semiHidden/>
    <w:qFormat/>
    <w:rsid w:val="00BF3531"/>
    <w:rPr>
      <w:rFonts w:ascii="Segoe UI" w:hAnsi="Segoe UI" w:cs="Segoe UI"/>
      <w:sz w:val="18"/>
      <w:szCs w:val="18"/>
    </w:rPr>
  </w:style>
  <w:style w:type="character" w:styleId="Hyperlink">
    <w:name w:val="Hyperlink"/>
    <w:basedOn w:val="DefaultParagraphFont"/>
    <w:uiPriority w:val="99"/>
    <w:unhideWhenUsed/>
    <w:rsid w:val="00AB01E2"/>
    <w:rPr>
      <w:color w:val="0563C1" w:themeColor="hyperlink"/>
      <w:u w:val="single"/>
    </w:rPr>
  </w:style>
  <w:style w:type="character" w:styleId="CommentReference">
    <w:name w:val="annotation reference"/>
    <w:basedOn w:val="DefaultParagraphFont"/>
    <w:uiPriority w:val="99"/>
    <w:semiHidden/>
    <w:unhideWhenUsed/>
    <w:qFormat/>
    <w:rsid w:val="004C72F0"/>
    <w:rPr>
      <w:sz w:val="16"/>
      <w:szCs w:val="16"/>
    </w:rPr>
  </w:style>
  <w:style w:type="character" w:customStyle="1" w:styleId="CommentTextChar">
    <w:name w:val="Comment Text Char"/>
    <w:basedOn w:val="DefaultParagraphFont"/>
    <w:link w:val="CommentText"/>
    <w:uiPriority w:val="99"/>
    <w:semiHidden/>
    <w:qFormat/>
    <w:rsid w:val="004C72F0"/>
    <w:rPr>
      <w:sz w:val="20"/>
      <w:szCs w:val="20"/>
    </w:rPr>
  </w:style>
  <w:style w:type="character" w:customStyle="1" w:styleId="CommentSubjectChar">
    <w:name w:val="Comment Subject Char"/>
    <w:basedOn w:val="CommentTextChar"/>
    <w:link w:val="CommentSubject"/>
    <w:uiPriority w:val="99"/>
    <w:semiHidden/>
    <w:qFormat/>
    <w:rsid w:val="004C72F0"/>
    <w:rPr>
      <w:b/>
      <w:bCs/>
      <w:sz w:val="20"/>
      <w:szCs w:val="20"/>
    </w:rPr>
  </w:style>
  <w:style w:type="character" w:customStyle="1" w:styleId="FootnoteTextChar">
    <w:name w:val="Footnote Text Char"/>
    <w:basedOn w:val="DefaultParagraphFont"/>
    <w:link w:val="FootnoteText"/>
    <w:uiPriority w:val="99"/>
    <w:semiHidden/>
    <w:qFormat/>
    <w:rsid w:val="00B358BE"/>
    <w:rPr>
      <w:sz w:val="20"/>
      <w:szCs w:val="20"/>
    </w:rPr>
  </w:style>
  <w:style w:type="character" w:customStyle="1" w:styleId="FootnoteCharacters">
    <w:name w:val="Footnote Characters"/>
    <w:basedOn w:val="DefaultParagraphFont"/>
    <w:uiPriority w:val="99"/>
    <w:semiHidden/>
    <w:unhideWhenUsed/>
    <w:qFormat/>
    <w:rsid w:val="00B358BE"/>
    <w:rPr>
      <w:vertAlign w:val="superscript"/>
    </w:rPr>
  </w:style>
  <w:style w:type="character" w:customStyle="1" w:styleId="FootnoteAnchor">
    <w:name w:val="Footnote Anchor"/>
    <w:qFormat/>
    <w:rPr>
      <w:vertAlign w:val="superscript"/>
    </w:rPr>
  </w:style>
  <w:style w:type="character" w:styleId="FollowedHyperlink">
    <w:name w:val="FollowedHyperlink"/>
    <w:basedOn w:val="DefaultParagraphFont"/>
    <w:uiPriority w:val="99"/>
    <w:semiHidden/>
    <w:unhideWhenUsed/>
    <w:rsid w:val="00996024"/>
    <w:rPr>
      <w:color w:val="954F72" w:themeColor="followedHyperlink"/>
      <w:u w:val="single"/>
    </w:rPr>
  </w:style>
  <w:style w:type="character" w:customStyle="1" w:styleId="EndnoteAnchor">
    <w:name w:val="Endnote Anchor"/>
    <w:qFormat/>
    <w:rPr>
      <w:vertAlign w:val="superscript"/>
    </w:rPr>
  </w:style>
  <w:style w:type="character" w:customStyle="1" w:styleId="EndnoteCharacters">
    <w:name w:val="Endnote Characters"/>
    <w:qFormat/>
  </w:style>
  <w:style w:type="character" w:customStyle="1" w:styleId="Ninguno">
    <w:name w:val="Ninguno"/>
    <w:qFormat/>
    <w:rPr>
      <w:lang w:val="en-US"/>
    </w:rPr>
  </w:style>
  <w:style w:type="character" w:customStyle="1" w:styleId="Textooriginal">
    <w:name w:val="Texto original"/>
    <w:qFormat/>
    <w:rPr>
      <w:rFonts w:ascii="Liberation Mono" w:eastAsia="Liberation Mono" w:hAnsi="Liberation Mono" w:cs="Liberation Mono"/>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Lohit Devanagari"/>
    </w:rPr>
  </w:style>
  <w:style w:type="paragraph" w:customStyle="1" w:styleId="Ttulo">
    <w:name w:val="Título"/>
    <w:basedOn w:val="Normal"/>
    <w:next w:val="BodyText"/>
    <w:qFormat/>
    <w:pPr>
      <w:keepNext/>
      <w:spacing w:before="240" w:after="120"/>
    </w:pPr>
    <w:rPr>
      <w:rFonts w:ascii="Liberation Sans" w:eastAsia="Noto Sans CJK SC" w:hAnsi="Liberation Sans" w:cs="Noto Sans Devanagari"/>
      <w:sz w:val="28"/>
      <w:szCs w:val="28"/>
    </w:rPr>
  </w:style>
  <w:style w:type="paragraph" w:customStyle="1" w:styleId="ndice">
    <w:name w:val="Índice"/>
    <w:basedOn w:val="Normal"/>
    <w:qFormat/>
    <w:pPr>
      <w:suppressLineNumbers/>
    </w:pPr>
    <w:rPr>
      <w:rFonts w:cs="Noto Sans Devanagari"/>
    </w:rPr>
  </w:style>
  <w:style w:type="paragraph" w:customStyle="1" w:styleId="Cabeceraypie">
    <w:name w:val="Cabecera y pie"/>
    <w:basedOn w:val="Normal"/>
    <w:qFormat/>
  </w:style>
  <w:style w:type="paragraph" w:customStyle="1" w:styleId="HeaderandFooter">
    <w:name w:val="Header and Footer"/>
    <w:basedOn w:val="Normal"/>
    <w:qFormat/>
  </w:style>
  <w:style w:type="paragraph" w:styleId="Header">
    <w:name w:val="header"/>
    <w:basedOn w:val="Normal"/>
    <w:link w:val="HeaderChar"/>
    <w:uiPriority w:val="99"/>
    <w:unhideWhenUsed/>
    <w:rsid w:val="00A938E0"/>
    <w:pPr>
      <w:tabs>
        <w:tab w:val="center" w:pos="4252"/>
        <w:tab w:val="right" w:pos="8504"/>
      </w:tabs>
      <w:spacing w:after="0" w:line="240" w:lineRule="auto"/>
    </w:pPr>
  </w:style>
  <w:style w:type="paragraph" w:styleId="Footer">
    <w:name w:val="footer"/>
    <w:basedOn w:val="Normal"/>
    <w:link w:val="FooterChar"/>
    <w:uiPriority w:val="99"/>
    <w:unhideWhenUsed/>
    <w:rsid w:val="00A938E0"/>
    <w:pPr>
      <w:tabs>
        <w:tab w:val="center" w:pos="4252"/>
        <w:tab w:val="right" w:pos="8504"/>
      </w:tabs>
      <w:spacing w:after="0" w:line="240" w:lineRule="auto"/>
    </w:pPr>
  </w:style>
  <w:style w:type="paragraph" w:styleId="ListParagraph">
    <w:name w:val="List Paragraph"/>
    <w:basedOn w:val="Normal"/>
    <w:uiPriority w:val="34"/>
    <w:qFormat/>
    <w:rsid w:val="00BF3531"/>
    <w:pPr>
      <w:ind w:left="720"/>
      <w:contextualSpacing/>
    </w:pPr>
  </w:style>
  <w:style w:type="paragraph" w:styleId="BalloonText">
    <w:name w:val="Balloon Text"/>
    <w:basedOn w:val="Normal"/>
    <w:link w:val="BalloonTextChar"/>
    <w:uiPriority w:val="99"/>
    <w:semiHidden/>
    <w:unhideWhenUsed/>
    <w:qFormat/>
    <w:rsid w:val="00BF3531"/>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4C72F0"/>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4C72F0"/>
    <w:rPr>
      <w:b/>
      <w:bCs/>
    </w:rPr>
  </w:style>
  <w:style w:type="paragraph" w:styleId="FootnoteText">
    <w:name w:val="footnote text"/>
    <w:basedOn w:val="Normal"/>
    <w:link w:val="FootnoteTextChar"/>
    <w:uiPriority w:val="99"/>
    <w:semiHidden/>
    <w:unhideWhenUsed/>
    <w:rsid w:val="00B358BE"/>
    <w:pPr>
      <w:spacing w:after="0" w:line="240" w:lineRule="auto"/>
    </w:pPr>
    <w:rPr>
      <w:sz w:val="20"/>
      <w:szCs w:val="20"/>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pPr>
      <w:spacing w:after="0"/>
    </w:pPr>
    <w:rPr>
      <w:rFonts w:ascii="Liberation Mono" w:eastAsia="Liberation Mono" w:hAnsi="Liberation Mono" w:cs="Liberation Mono"/>
      <w:sz w:val="20"/>
      <w:szCs w:val="20"/>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32206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oogle.es/" TargetMode="External"/><Relationship Id="rId11" Type="http://schemas.openxmlformats.org/officeDocument/2006/relationships/hyperlink" Target="https://www.uco.es/estudios/idep/agroecologia%20/%20https://www.upo.es/postgrado/Master-Oficial-Agroecologia-Un-Enfoque-de-Transformacion-Sustentable-de-los-Sistemas-Agroalimentario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unia.es/estudios-y-acceso/oferta-academica/masteres-oficiales/master-oficial-en-agroecologia-un-enfoque-para-la-sustentabilidad-rural-2"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2372</Words>
  <Characters>13522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Universidad Internacional de Andalucía</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A.DeArriba</dc:creator>
  <cp:keywords>, docId:7A1C9A3C9E8CD4633B489D8C1BA83343</cp:keywords>
  <dc:description/>
  <cp:lastModifiedBy>georgemca20@gmail.com</cp:lastModifiedBy>
  <cp:revision>2</cp:revision>
  <cp:lastPrinted>2019-03-29T12:33:00Z</cp:lastPrinted>
  <dcterms:created xsi:type="dcterms:W3CDTF">2025-10-31T14:35:00Z</dcterms:created>
  <dcterms:modified xsi:type="dcterms:W3CDTF">2025-10-31T14:35:00Z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Universidad Internacional de Andalucía</vt:lpwstr>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