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cs="Calibri"/>
          <w:sz w:val="48"/>
          <w:szCs w:val="48"/>
        </w:rPr>
      </w:pPr>
      <w:r>
        <w:rPr>
          <w:rFonts w:cs="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hyperlink r:id="rId2">
        <w:r>
          <w:rPr>
            <w:rFonts w:eastAsia="Times New Roman" w:cs="Calibri" w:ascii="Calibri" w:hAnsi="Calibri" w:asciiTheme="minorHAnsi" w:hAnsiTheme="minorHAnsi"/>
            <w:b/>
            <w:color w:val="auto"/>
            <w:kern w:val="2"/>
            <w:sz w:val="48"/>
            <w:szCs w:val="48"/>
            <w:lang w:val="es-ES" w:eastAsia="zh-CN" w:bidi="ar-SA"/>
          </w:rPr>
          <w:t>Agroecología: un Enfoque de Transformación Sustentable de los Sistemas Agroalimentarios – Módulo J - Ecología política y Agroecología</w:t>
        </w:r>
      </w:hyperlink>
    </w:p>
    <w:p>
      <w:pPr>
        <w:pStyle w:val="Normal"/>
        <w:tabs>
          <w:tab w:val="clear" w:pos="708"/>
          <w:tab w:val="left" w:pos="0" w:leader="none"/>
        </w:tabs>
        <w:rPr>
          <w:rFonts w:ascii="Calibri" w:hAnsi="Calibri" w:cs="Calibri"/>
          <w:sz w:val="48"/>
          <w:szCs w:val="48"/>
        </w:rPr>
      </w:pPr>
      <w:r>
        <w:rPr>
          <w:rFonts w:cs="Calibri"/>
          <w:sz w:val="48"/>
          <w:szCs w:val="48"/>
        </w:rPr>
      </w:r>
    </w:p>
    <w:p>
      <w:pPr>
        <w:pStyle w:val="Normal"/>
        <w:rPr>
          <w:rFonts w:ascii="Calibri" w:hAnsi="Calibri" w:cs="Calibri"/>
          <w:sz w:val="32"/>
          <w:szCs w:val="32"/>
        </w:rPr>
      </w:pPr>
      <w:r>
        <w:rPr>
          <w:rFonts w:cs="Calibri"/>
          <w:sz w:val="32"/>
          <w:szCs w:val="32"/>
        </w:rPr>
      </w:r>
    </w:p>
    <w:p>
      <w:pPr>
        <w:pStyle w:val="Normal"/>
        <w:suppressLineNumbers/>
        <w:suppressAutoHyphens w:val="true"/>
        <w:spacing w:lineRule="auto" w:line="240" w:before="0" w:after="0"/>
        <w:jc w:val="center"/>
        <w:textAlignment w:val="baseline"/>
        <w:rPr/>
      </w:pPr>
      <w:r>
        <w:rPr>
          <w:rFonts w:eastAsia="Calibri" w:cs="Calibri" w:cstheme="minorHAnsi"/>
          <w:b w:val="false"/>
          <w:bCs w:val="false"/>
          <w:color w:val="00000A"/>
          <w:kern w:val="2"/>
          <w:sz w:val="22"/>
          <w:szCs w:val="22"/>
          <w:u w:val="none"/>
          <w:lang w:val="es-ES" w:eastAsia="en-US" w:bidi="ar-SA"/>
        </w:rPr>
        <w:t>Ecología política y Agroecología</w:t>
      </w:r>
    </w:p>
    <w:p>
      <w:pPr>
        <w:pStyle w:val="Normal"/>
        <w:suppressLineNumbers/>
        <w:suppressAutoHyphens w:val="true"/>
        <w:spacing w:lineRule="auto" w:line="240" w:before="0" w:after="0"/>
        <w:jc w:val="center"/>
        <w:textAlignment w:val="baseline"/>
        <w:rPr>
          <w:rFonts w:ascii="Calibri" w:hAnsi="Calibri" w:cs="Calibri"/>
          <w:sz w:val="32"/>
          <w:szCs w:val="32"/>
        </w:rPr>
      </w:pPr>
      <w:r>
        <w:rPr>
          <w:rFonts w:eastAsia="Calibri" w:cs="Calibri" w:cstheme="minorHAnsi"/>
          <w:b w:val="false"/>
          <w:bCs w:val="false"/>
          <w:color w:val="00000A"/>
          <w:kern w:val="2"/>
          <w:sz w:val="22"/>
          <w:szCs w:val="22"/>
          <w:u w:val="none"/>
          <w:lang w:val="es-ES" w:eastAsia="en-US" w:bidi="ar-SA"/>
        </w:rPr>
        <w:t/>
      </w:r>
    </w:p>
    <w:p>
      <w:pPr>
        <w:pStyle w:val="Heading1"/>
        <w:tabs>
          <w:tab w:val="clear" w:pos="708"/>
          <w:tab w:val="left" w:pos="0" w:leader="none"/>
        </w:tabs>
        <w:rPr>
          <w:rFonts w:ascii="Calibri" w:hAnsi="Calibri" w:cs="Calibri"/>
          <w:color w:val="FF6600"/>
          <w:sz w:val="48"/>
          <w:szCs w:val="48"/>
        </w:rPr>
      </w:pPr>
      <w:r>
        <w:rPr>
          <w:rFonts w:cs="Calibri" w:ascii="Calibri" w:hAnsi="Calibri"/>
          <w:color w:val="FF6600"/>
          <w:sz w:val="48"/>
          <w:szCs w:val="48"/>
        </w:rPr>
      </w:r>
    </w:p>
    <w:p>
      <w:pPr>
        <w:pStyle w:val="Heading1"/>
        <w:tabs>
          <w:tab w:val="clear" w:pos="708"/>
          <w:tab w:val="left" w:pos="0" w:leader="none"/>
        </w:tabs>
        <w:rPr>
          <w:rFonts w:ascii="Calibri" w:hAnsi="Calibri" w:cs="Calibri"/>
          <w:color w:val="70AD47"/>
          <w:sz w:val="48"/>
          <w:szCs w:val="48"/>
        </w:rPr>
      </w:pPr>
      <w:r>
        <w:rPr>
          <w:rFonts w:cs="Calibri" w:ascii="Calibri" w:hAnsi="Calibri"/>
          <w:color w:val="70AD47"/>
          <w:sz w:val="48"/>
          <w:szCs w:val="48"/>
        </w:rPr>
        <w:t>GUÍA DOCENTE </w:t>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2340610" cy="288036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2340610" cy="2880360"/>
                    </a:xfrm>
                    <a:prstGeom prst="rect">
                      <a:avLst/>
                    </a:prstGeom>
                  </pic:spPr>
                </pic:pic>
              </a:graphicData>
            </a:graphic>
          </wp:anchor>
        </w:drawing>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hanging="0"/>
        <w:jc w:val="center"/>
        <w:rPr>
          <w:rFonts w:cs="Calibri" w:cstheme="minorHAnsi"/>
          <w:b/>
          <w:b/>
          <w:sz w:val="24"/>
          <w:szCs w:val="24"/>
        </w:rPr>
      </w:pPr>
      <w:r>
        <w:rPr>
          <w:rFonts w:eastAsia="Arial" w:cs="Calibri" w:cstheme="minorHAnsi"/>
          <w:b/>
          <w:sz w:val="24"/>
          <w:szCs w:val="24"/>
          <w:u w:val="none"/>
        </w:rPr>
        <w:t>INSTRUCCIONES PARA LA ELABORACIÓN Y TRAMITACIÓN DE LAS GUÍAS DOCENTES DE LAS ASIGNATURAS</w:t>
      </w:r>
    </w:p>
    <w:p>
      <w:pPr>
        <w:pStyle w:val="ListParagraph"/>
        <w:spacing w:lineRule="auto" w:line="312" w:before="120" w:after="120"/>
        <w:ind w:left="360" w:hanging="0"/>
        <w:contextualSpacing/>
        <w:jc w:val="left"/>
        <w:rPr>
          <w:rFonts w:eastAsia="Arial" w:cs="Calibri" w:cstheme="minorHAnsi"/>
          <w:sz w:val="22"/>
          <w:szCs w:val="22"/>
          <w:u w:val="none"/>
        </w:rPr>
      </w:pPr>
      <w:r>
        <w:rPr>
          <w:rFonts w:eastAsia="Arial" w:cs="Calibri" w:cstheme="minorHAnsi"/>
          <w:sz w:val="22"/>
          <w:szCs w:val="22"/>
          <w:u w:val="none"/>
        </w:rPr>
      </w:r>
    </w:p>
    <w:p>
      <w:pPr>
        <w:sectPr>
          <w:headerReference w:type="default" r:id="rId4"/>
          <w:footerReference w:type="default" r:id="rId5"/>
          <w:type w:val="nextPage"/>
          <w:pgSz w:w="11906" w:h="16838"/>
          <w:pgMar w:left="1701" w:right="1701" w:header="1417" w:top="1717" w:footer="708" w:bottom="1417" w:gutter="0"/>
          <w:pgNumType w:fmt="decimal"/>
          <w:formProt w:val="false"/>
          <w:textDirection w:val="lrTb"/>
          <w:docGrid w:type="default" w:linePitch="360" w:charSpace="4096"/>
        </w:sectPr>
        <w:pStyle w:val="ListParagraph"/>
        <w:spacing w:lineRule="auto" w:line="312" w:before="120" w:after="120"/>
        <w:ind w:left="360" w:hanging="0"/>
        <w:contextualSpacing/>
        <w:jc w:val="left"/>
        <w:rPr>
          <w:rFonts w:ascii="Calibri" w:hAnsi="Calibri" w:cs="Calibri"/>
          <w:color w:val="70AD47"/>
          <w:sz w:val="48"/>
          <w:szCs w:val="48"/>
        </w:rPr>
      </w:pPr>
      <w:r>
        <w:rPr>
          <w:rFonts w:eastAsia="Arial" w:cs="Calibri" w:cstheme="minorHAnsi"/>
          <w:sz w:val="22"/>
          <w:szCs w:val="22"/>
          <w:u w:val="none"/>
        </w:rPr>
        <w:t/>
      </w:r>
    </w:p>
    <w:p>
      <w:pPr>
        <w:pStyle w:val="Normal"/>
        <w:rPr>
          <w:rFonts w:eastAsia="Arial" w:cs="Calibri" w:cstheme="minorHAnsi"/>
          <w:sz w:val="22"/>
          <w:szCs w:val="22"/>
          <w:u w:val="none"/>
        </w:rPr>
      </w:pPr>
      <w:r>
        <w:rPr>
          <w:rFonts w:eastAsia="Arial" w:cs="Calibri" w:cstheme="minorHAnsi"/>
          <w:sz w:val="22"/>
          <w:szCs w:val="22"/>
          <w:u w:val="none"/>
        </w:rPr>
      </w:r>
    </w:p>
    <w:tbl>
      <w:tblPr>
        <w:tblW w:w="9781" w:type="dxa"/>
        <w:jc w:val="left"/>
        <w:tblInd w:w="-522" w:type="dxa"/>
        <w:tblCellMar>
          <w:top w:w="55" w:type="dxa"/>
          <w:left w:w="55" w:type="dxa"/>
          <w:bottom w:w="55" w:type="dxa"/>
          <w:right w:w="55" w:type="dxa"/>
        </w:tblCellMar>
        <w:tblLook w:val="04a0" w:noHBand="0" w:noVBand="1" w:firstColumn="1" w:lastRow="0" w:lastColumn="0" w:firstRow="1"/>
      </w:tblPr>
      <w:tblGrid>
        <w:gridCol w:w="2445"/>
        <w:gridCol w:w="1333"/>
        <w:gridCol w:w="1286"/>
        <w:gridCol w:w="1285"/>
        <w:gridCol w:w="1288"/>
        <w:gridCol w:w="1072"/>
        <w:gridCol w:w="1071"/>
      </w:tblGrid>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Tipo de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Máster Universitario</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Nombre de la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Agroecología: un Enfoque de Transformación Sustentable de los Sistemas Agroalimentarios</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Denominación de la asignatura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Ecología política y Agroecología</w:t>
            </w:r>
          </w:p>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Módulo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Módulo J - Ecología política y Agroecología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Curso académico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2024-2025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Tipología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Obligatoria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ECTS</w:t>
            </w:r>
          </w:p>
        </w:tc>
        <w:tc>
          <w:tcPr>
            <w:tcW w:w="1333"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Teoría:</w:t>
            </w:r>
          </w:p>
        </w:tc>
        <w:tc>
          <w:tcPr>
            <w:tcW w:w="1286"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3.00</w:t>
            </w:r>
          </w:p>
        </w:tc>
        <w:tc>
          <w:tcPr>
            <w:tcW w:w="1285"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Práctica:</w:t>
            </w:r>
          </w:p>
        </w:tc>
        <w:tc>
          <w:tcPr>
            <w:tcW w:w="1288"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b w:val="false"/>
                <w:bCs w:val="false"/>
                <w:color w:val="000000"/>
                <w:kern w:val="2"/>
                <w:sz w:val="22"/>
                <w:szCs w:val="22"/>
                <w:lang w:eastAsia="zh-CN" w:bidi="hi-IN"/>
              </w:rPr>
              <w:t>0.00</w:t>
            </w:r>
          </w:p>
        </w:tc>
        <w:tc>
          <w:tcPr>
            <w:tcW w:w="1072" w:type="dxa"/>
            <w:tcBorders>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Total:</w:t>
            </w:r>
          </w:p>
        </w:tc>
        <w:tc>
          <w:tcPr>
            <w:tcW w:w="1071"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3.00</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Modalidad Docente</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PRESENCIAL</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Periodo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17 al 21 de marzo de 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Web universidad coordinadora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ascii="Calibri" w:hAnsi="Calibri" w:cs="Calibri"/>
                <w:color w:val="70AD47"/>
                <w:sz w:val="48"/>
                <w:szCs w:val="48"/>
              </w:rPr>
            </w:pPr>
            <w:hyperlink r:id="rId11">
              <w:r>
                <w:rPr>
                  <w:rStyle w:val="Hyperlink"/>
                </w:rPr>
                <w:t>https://www.unia.es/estudios-y-acceso/oferta-academica/masteres-oficiales/master-oficial-en-agroecologia-un-enfoque-para-la-sustentabilidad-rural-2</w:t>
              </w:r>
            </w:hyperlink>
          </w:p>
        </w:tc>
      </w:tr>
      <w:tr>
        <w:trPr>
          <w:trHeight w:val="704" w:hRule="atLeast"/>
        </w:trPr>
        <w:tc>
          <w:tcPr>
            <w:tcW w:w="2445" w:type="dxa"/>
            <w:tcBorders>
              <w:left w:val="single" w:sz="4" w:space="0" w:color="000000"/>
              <w:bottom w:val="single" w:sz="4" w:space="0" w:color="000000"/>
            </w:tcBorders>
            <w:shd w:color="auto" w:fill="92D050" w:val="clear"/>
            <w:vAlign w:val="center"/>
          </w:tcPr>
          <w:p>
            <w:pPr>
              <w:pStyle w:val="Normal"/>
              <w:widowControl w:val="false"/>
              <w:spacing w:before="0" w:after="160"/>
              <w:contextualSpacing/>
              <w:rPr>
                <w:rFonts w:eastAsia="NSimSun" w:cs="Calibri" w:cstheme="minorHAnsi"/>
                <w:color w:val="000000"/>
                <w:kern w:val="2"/>
                <w:lang w:eastAsia="zh-CN" w:bidi="hi-IN"/>
              </w:rPr>
            </w:pPr>
            <w:r>
              <w:rPr/>
              <w:t>Web universidad colaboradora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pPr>
            <w:hyperlink r:id="rId12">
              <w:r>
                <w:rPr>
                  <w:rStyle w:val="Hyperlink"/>
                </w:rPr>
                <w:t>https://www.uco.es/estudios/idep/agroecologia / https://www.upo.es/postgrado/Master-Oficial-Agroecologia-Un-Enfoque-de-Transformacion-Sustentable-de-los-Sistemas-Agroalimentarios/</w:t>
              </w:r>
            </w:hyperlink>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Idioma/s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xml:space="preserve">Español</w:t>
            </w:r>
          </w:p>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w:r>
          </w:p>
        </w:tc>
      </w:tr>
    </w:tbl>
    <w:p>
      <w:pPr>
        <w:pStyle w:val="Normal"/>
        <w:rPr>
          <w:sz w:val="40"/>
          <w:szCs w:val="40"/>
        </w:rPr>
      </w:pPr>
      <w:r>
        <w:rPr>
          <w:sz w:val="40"/>
          <w:szCs w:val="40"/>
        </w:rPr>
      </w:r>
    </w:p>
    <w:tbl>
      <w:tblPr>
        <w:tblW w:w="9808" w:type="dxa"/>
        <w:jc w:val="left"/>
        <w:tblInd w:w="-561" w:type="dxa"/>
        <w:tblCellMar>
          <w:top w:w="55" w:type="dxa"/>
          <w:left w:w="55" w:type="dxa"/>
          <w:bottom w:w="55" w:type="dxa"/>
          <w:right w:w="55" w:type="dxa"/>
        </w:tblCellMar>
        <w:tblLook w:val="04a0" w:noHBand="0" w:noVBand="1" w:firstColumn="1" w:lastRow="0" w:lastColumn="0" w:firstRow="1"/>
      </w:tblPr>
      <w:tblGrid>
        <w:gridCol w:w="3714"/>
        <w:gridCol w:w="2111"/>
        <w:gridCol w:w="2113"/>
        <w:gridCol w:w="1869"/>
      </w:tblGrid>
      <w:tr>
        <w:trPr/>
        <w:tc>
          <w:tcPr>
            <w:tcW w:w="9807"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Responsable/s de la asignatura</w:t>
            </w:r>
          </w:p>
        </w:tc>
      </w:tr>
      <w:tr>
        <w:trPr/>
        <w:tc>
          <w:tcPr>
            <w:tcW w:w="3714"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1"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3"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14"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Manuel Luis González de Molina Navarro</w:t>
            </w:r>
          </w:p>
        </w:tc>
        <w:tc>
          <w:tcPr>
            <w:tcW w:w="2111"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3"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PABLO DE OLAVIDE</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bl>
    <w:p>
      <w:pPr>
        <w:pStyle w:val="Normal"/>
        <w:rPr>
          <w:rFonts w:eastAsia="Arial" w:cs="Calibri" w:cstheme="minorHAnsi"/>
          <w:sz w:val="22"/>
          <w:szCs w:val="22"/>
          <w:u w:val="none"/>
        </w:rPr>
      </w:pPr>
      <w:r>
        <w:rPr>
          <w:rFonts w:eastAsia="Arial" w:cs="Calibri" w:cstheme="minorHAnsi"/>
          <w:sz w:val="22"/>
          <w:szCs w:val="22"/>
          <w:u w:val="none"/>
        </w:rPr>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709"/>
        <w:gridCol w:w="2117"/>
        <w:gridCol w:w="2111"/>
        <w:gridCol w:w="1869"/>
      </w:tblGrid>
      <w:tr>
        <w:trPr/>
        <w:tc>
          <w:tcPr>
            <w:tcW w:w="9806"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24"/>
                <w:szCs w:val="24"/>
                <w:lang w:eastAsia="zh-CN" w:bidi="hi-IN"/>
              </w:rPr>
            </w:pPr>
            <w:r>
              <w:rPr>
                <w:rFonts w:eastAsia="NSimSun" w:cs="Calibri" w:cstheme="minorHAnsi"/>
                <w:b/>
                <w:color w:val="000000"/>
                <w:kern w:val="2"/>
                <w:sz w:val="24"/>
                <w:szCs w:val="24"/>
                <w:lang w:eastAsia="zh-CN" w:bidi="hi-IN"/>
              </w:rPr>
              <w:t>Profesorado</w:t>
            </w:r>
          </w:p>
        </w:tc>
      </w:tr>
      <w:tr>
        <w:trPr/>
        <w:tc>
          <w:tcPr>
            <w:tcW w:w="3709"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7"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1"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Ángel Calle Collado</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COOPERATIVA ECOJERTE</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Francisco de Asís Garrido Peña</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DE JAEN</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Manuel Luis González de Molina Navarro</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PABLO DE OLAVIDE</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9806" w:type="dxa"/>
            <w:gridSpan w:val="4"/>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TUTORIAS: Horario y localización</w:t>
            </w:r>
          </w:p>
        </w:tc>
      </w:tr>
      <w:tr>
        <w:trPr/>
        <w:tc>
          <w:tcPr>
            <w:tcW w:w="9806" w:type="dxa"/>
            <w:gridSpan w:val="4"/>
            <w:tcBorders>
              <w:left w:val="single" w:sz="4" w:space="0" w:color="000000"/>
              <w:bottom w:val="single" w:sz="4" w:space="0" w:color="000000"/>
              <w:right w:val="single" w:sz="4" w:space="0" w:color="000000"/>
            </w:tcBorders>
            <w:shd w:color="auto" w:fill="FFFFFF" w:themeFill="background1" w:val="clear"/>
          </w:tcPr>
          <w:p>
            <w:pPr>
              <w:pStyle w:val="Normal"/>
              <w:widowControl w:val="false"/>
              <w:spacing w:before="0" w:after="160"/>
              <w:contextualSpacing/>
              <w:rPr>
                <w:rFonts w:eastAsia="NSimSun" w:cs="Calibri" w:cstheme="minorHAnsi"/>
                <w:b/>
                <w:b/>
                <w:color w:val="000000"/>
                <w:kern w:val="2"/>
                <w:lang w:eastAsia="zh-CN" w:bidi="hi-IN"/>
              </w:rPr>
            </w:pPr>
            <w:r>
              <w:rPr/>
              <w:t xml:space="preserve"/>
            </w:r>
            <w:r>
              <w:rPr>
                <w:sz w:val="22"/>
                <w:szCs w:val="22"/>
              </w:rPr>
              <w:t xml:space="preserve">Tutorías/seminarios: miércoles y jueves tarde: 17-19:30
</w:t>
              <w:br/>
              <w:t xml:space="preserve">Despacho profesorado</w:t>
            </w:r>
            <w:r>
              <w:t xml:space="preserve"/>
            </w:r>
          </w:p>
        </w:tc>
      </w:tr>
    </w:tbl>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color w:val="000000"/>
          <w:kern w:val="2"/>
          <w:lang w:eastAsia="zh-CN" w:bidi="hi-IN"/>
        </w:rPr>
      </w:r>
    </w:p>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val="false"/>
          <w:bCs w:val="false"/>
          <w:color w:val="000000"/>
          <w:kern w:val="2"/>
          <w:sz w:val="22"/>
          <w:szCs w:val="22"/>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682"/>
        <w:gridCol w:w="6124"/>
      </w:tblGrid>
      <w:tr>
        <w:trPr/>
        <w:tc>
          <w:tcPr>
            <w:tcW w:w="9806" w:type="dxa"/>
            <w:gridSpan w:val="2"/>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RESULTADOS DEL PROCESO DE FORMACIÓN Y APRENDIZAJE</w:t>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Conocimientos o contenidos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C01 Conoce los principios y las bases científicas de la Agroecología como instrumento de transformación sustentable de los sistemas agroalimentarios.</w:t>
            </w:r>
            <w:r>
              <w:t xml:space="preserve"/>
              <w:br/>
              <w:t xml:space="preserve"/>
            </w:r>
            <w:r>
              <w:rPr>
                <w:sz w:val="22"/>
                <w:szCs w:val="22"/>
              </w:rPr>
              <w:t xml:space="preserve">C02 Conoce las bases sociológicas y antropológicas que permiten analizar la estructura y  funcionamiento de los sistemas alimentarios, así como la dimensión social y participativa de la Agroecología</w:t>
            </w:r>
            <w:r>
              <w:t xml:space="preserve"/>
              <w:br/>
              <w:t xml:space="preserve"/>
            </w:r>
            <w:r>
              <w:rPr>
                <w:sz w:val="22"/>
                <w:szCs w:val="22"/>
              </w:rPr>
              <w:t xml:space="preserve">C03 Conoce las bases ecológicas del funcionamiento de los agroecosistemas y su aplicación como base para el diseño de sistema agrarios sustentables</w:t>
            </w:r>
            <w:r>
              <w:t xml:space="preserve"/>
              <w:br/>
              <w:t xml:space="preserve"/>
            </w:r>
            <w:r>
              <w:rPr>
                <w:sz w:val="22"/>
                <w:szCs w:val="22"/>
              </w:rPr>
              <w:t xml:space="preserve">C04 Conoce las bases agronómicas del funcionamiento de los agroecosistemas y su aplicación como base para el diseño de sistema agrarios sustentables</w:t>
            </w:r>
            <w:r>
              <w:t xml:space="preserve"/>
              <w:br/>
              <w:t xml:space="preserve"/>
            </w:r>
            <w:r>
              <w:rPr>
                <w:sz w:val="22"/>
                <w:szCs w:val="22"/>
              </w:rPr>
              <w:t xml:space="preserve">C05 Conoce los principios básicos del análisis económico aplicados a la actividad agraria y alimentaria desde el punto de vista de la economía ecológica</w:t>
            </w:r>
            <w:r>
              <w:t xml:space="preserve"/>
              <w:br/>
              <w:t xml:space="preserve"/>
            </w:r>
            <w:r>
              <w:rPr>
                <w:sz w:val="22"/>
                <w:szCs w:val="22"/>
              </w:rPr>
              <w:t xml:space="preserve">C06 Conoce los fundamentos de la relación entre biodiversidad y diversidad cultural, aplicada al manejo de agroecosistemas y sistemas alimentarios.</w:t>
            </w:r>
            <w:r>
              <w:t xml:space="preserve"/>
              <w:br/>
              <w:t xml:space="preserve"/>
            </w:r>
            <w:r>
              <w:rPr>
                <w:sz w:val="22"/>
                <w:szCs w:val="22"/>
              </w:rPr>
              <w:t xml:space="preserve">C7 Conoce los principios básicos del análisis político-institucional aplicado a la actividad agraria y alimentaria desde el punto de vista de la Ecología Política, con especial hincapié en el papel del Estado y de los movimientos sociales en su regulación</w:t>
            </w:r>
            <w:r>
              <w:t xml:space="preserve"/>
              <w:br/>
              <w:t xml:space="preserve"/>
            </w:r>
            <w:r>
              <w:rPr>
                <w:sz w:val="22"/>
                <w:szCs w:val="22"/>
              </w:rPr>
              <w:t xml:space="preserve">C8 Conoce las propuestas teóricas y los instrumentos prácticos propuestos para el diseño de la transición agroecológica.</w:t>
            </w:r>
            <w:r>
              <w:t xml:space="preserve"/>
              <w:br/>
              <w:t xml:space="preserve"/>
            </w:r>
            <w:r>
              <w:rPr>
                <w:sz w:val="22"/>
                <w:szCs w:val="22"/>
              </w:rPr>
              <w:t xml:space="preserve">C9 Conoce las causas sociológicas, económica e institucionales de la crisis alimentaria global y los principios que deben guiar la construcción de sistemas agroalimentarios sustentables</w:t>
            </w:r>
            <w:r>
              <w:t xml:space="preserve"/>
              <w:br/>
              <w:t xml:space="preserve"/>
            </w:r>
            <w:r>
              <w:rPr>
                <w:sz w:val="22"/>
                <w:szCs w:val="22"/>
              </w:rPr>
              <w:t xml:space="preserve">C10 Conoce las diferentes perspectivas feministas y su aplicación al análisis de los sistemas agroalimentarios </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Competencias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COM01 Analizar los contenidos de las lecturas realizadas, sintetizar dichos contenidos para la identificación de conceptos clave.</w:t>
            </w:r>
            <w:r>
              <w:t xml:space="preserve"/>
              <w:br/>
              <w:t xml:space="preserve"/>
            </w:r>
            <w:r>
              <w:rPr>
                <w:sz w:val="22"/>
                <w:szCs w:val="22"/>
              </w:rPr>
              <w:t xml:space="preserve">COM02 Ser capaz de desarrollar adecuadamente la comunicación escrita y oral, la exposición ordenada de ideas, la justificación lógica y argumentativa, así como de relacionar conceptos generales con otros de índole más práctica.</w:t>
            </w:r>
            <w:r>
              <w:t xml:space="preserve"/>
              <w:br/>
              <w:t xml:space="preserve"/>
            </w:r>
            <w:r>
              <w:rPr>
                <w:sz w:val="22"/>
                <w:szCs w:val="22"/>
              </w:rPr>
              <w:t xml:space="preserve">COM03 Capacidad de compromiso ético con la transformación sustentable del régimen alimentario, tal y como propugna la agroecología.</w:t>
            </w:r>
            <w:r>
              <w:t xml:space="preserve"/>
              <w:br/>
              <w:t xml:space="preserve"/>
            </w:r>
            <w:r>
              <w:rPr>
                <w:sz w:val="22"/>
                <w:szCs w:val="22"/>
              </w:rPr>
              <w:t xml:space="preserve">COM04 Integrar aspectos sociales, económicos, culturales, agronómicos y ecológicos en el diseño de la transición agroecológica.</w:t>
            </w:r>
            <w:r>
              <w:t xml:space="preserve"/>
              <w:br/>
              <w:t xml:space="preserve"/>
            </w:r>
            <w:r>
              <w:rPr>
                <w:sz w:val="22"/>
                <w:szCs w:val="22"/>
              </w:rPr>
              <w:t xml:space="preserve">COM05 Identificar la reproducción de las desigualdades de género en la realidad social agroecológica en el ámbito de los sistemas agroalimentarios.</w:t>
            </w:r>
            <w:r>
              <w:t xml:space="preserve"/>
              <w:br/>
              <w:t xml:space="preserve"/>
            </w:r>
            <w:r>
              <w:rPr>
                <w:sz w:val="22"/>
                <w:szCs w:val="22"/>
              </w:rPr>
              <w:t xml:space="preserve">COM06 Realizar una reflexión autocrítica de las relaciones de poder en las investigaciones, incorporando en sus reflexiones teóricas y en sus prácticas críticas de las relaciones autoritarias y del patriarcado.</w:t>
            </w:r>
            <w:r>
              <w:t xml:space="preserve"/>
              <w:br/>
              <w:t xml:space="preserve"/>
            </w:r>
            <w:r>
              <w:rPr>
                <w:sz w:val="22"/>
                <w:szCs w:val="22"/>
              </w:rPr>
              <w:t xml:space="preserve">COM07 Plantear y desarrollar proyectos comunitarios de transformación o mantenimiento agroecológicos individualmente, en equipo, en investigación-acción participativa </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Habilidades o destrezas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HD01 Maneja las distintas perspectivas teóricas, metodológicas y las técnicas de investigación social aplicada a la Agroecología.</w:t>
            </w:r>
            <w:r>
              <w:t xml:space="preserve"/>
              <w:br/>
              <w:t xml:space="preserve"/>
            </w:r>
            <w:r>
              <w:rPr>
                <w:sz w:val="22"/>
                <w:szCs w:val="22"/>
              </w:rPr>
              <w:t xml:space="preserve">HD02 Conoce las principales metodologías para el análisis económico y ambiental de agroecosistemas, con especial atención a los instrumentos de evaluación de la sustentabilidad.</w:t>
            </w:r>
            <w:r>
              <w:t xml:space="preserve"/>
              <w:br/>
              <w:t xml:space="preserve"/>
            </w:r>
            <w:r>
              <w:rPr>
                <w:sz w:val="22"/>
                <w:szCs w:val="22"/>
              </w:rPr>
              <w:t xml:space="preserve">HD03 Diseña agroecosistemas que aúnen capacidad de producir alimentos y/u otros bienes y servicios, con un alto grado de resilencia y autonomía y mantenimiento de la biodiversidad</w:t>
            </w:r>
            <w:r>
              <w:t xml:space="preserve"/>
              <w:br/>
              <w:t xml:space="preserve"/>
            </w:r>
            <w:r>
              <w:rPr>
                <w:sz w:val="22"/>
                <w:szCs w:val="22"/>
              </w:rPr>
              <w:t xml:space="preserve">HD04 Desarrolla proyectos comunitarios de transformación o mantenimiento agroecológicos individualmente, en equipo, en investigación-acción participativa, con especial atención al desarrollo rural sustentable</w:t>
            </w:r>
            <w:r>
              <w:t xml:space="preserve"/>
              <w:br/>
              <w:t xml:space="preserve"/>
            </w:r>
            <w:r>
              <w:rPr>
                <w:sz w:val="22"/>
                <w:szCs w:val="22"/>
              </w:rPr>
              <w:t xml:space="preserve">HD05 Maneja y aplica teorías y conceptos de la ecología política, economía ecológica y técnicas de estimulación de la participación social en la toma de decisiones agroambientales.</w:t>
            </w:r>
            <w:r>
              <w:t xml:space="preserve"/>
              <w:br/>
              <w:t xml:space="preserve"/>
            </w:r>
            <w:r>
              <w:rPr>
                <w:sz w:val="22"/>
                <w:szCs w:val="22"/>
              </w:rPr>
              <w:t xml:space="preserve">HD06 Maneja metodologías, herramientas y enfoques organizativos feministas, orientados a eliminar las desigualdades y a construir nuevas relaciones de género; aplica la perspectiva feminista al análisis de las experiencias agroecológicas concretas.</w:t>
            </w:r>
            <w:r>
              <w:t xml:space="preserve"/>
              <w:br/>
              <w:t xml:space="preserve"/>
            </w:r>
            <w:r>
              <w:rPr>
                <w:sz w:val="22"/>
                <w:szCs w:val="22"/>
              </w:rPr>
              <w:t xml:space="preserve">HD07 Diagnostica y resuelve metodológicamente problemas agroecológicos y elabora informes y prospectivas de implantación de prácticas sustentables en los agroecosistemas y los sistemas agroalimentarios.</w:t>
            </w:r>
            <w:r>
              <w:t xml:space="preserve"/>
              <w:br/>
              <w:t xml:space="preserve"/>
            </w:r>
            <w:r>
              <w:rPr>
                <w:sz w:val="22"/>
                <w:szCs w:val="22"/>
              </w:rPr>
              <w:t xml:space="preserve">HD08 Desarrolla un trabajo de campo de acuerdo a un buen diseño y aplicación correcta de las técnicas de investigación-acción-participativa </w:t>
            </w:r>
            <w:r>
              <w:t xml:space="preserve"/>
              <w:br/>
              <w:t xml:space="preserve"/>
            </w:r>
            <w:r>
              <w:t xml:space="preserve"/>
              <w:br/>
              <w:t xml:space="preserve"/>
            </w:r>
            <w:r>
              <w:t xml:space="preserve"/>
            </w:r>
          </w:p>
        </w:tc>
      </w:tr>
    </w:tbl>
    <w:p>
      <w:pPr>
        <w:pStyle w:val="Normal"/>
        <w:widowControl w:val="false"/>
        <w:suppressLineNumbers/>
        <w:suppressAutoHyphens w:val="true"/>
        <w:bidi w:val="0"/>
        <w:spacing w:lineRule="auto" w:line="240" w:before="0" w:after="0"/>
        <w:ind w:left="0" w:right="0" w:hanging="624"/>
        <w:contextualSpacing/>
        <w:jc w:val="left"/>
        <w:textAlignment w:val="baseline"/>
        <w:rPr>
          <w:b w:val="false"/>
          <w:b w:val="false"/>
          <w:bCs w:val="false"/>
        </w:rPr>
      </w:pPr>
      <w:r>
        <w:rPr>
          <w:rFonts w:eastAsia="NSimSun" w:cs="Calibri" w:cstheme="minorHAnsi"/>
          <w:b w:val="false"/>
          <w:bCs w:val="false"/>
          <w:color w:val="000000"/>
          <w:kern w:val="2"/>
          <w:sz w:val="24"/>
          <w:szCs w:val="24"/>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009"/>
        <w:gridCol w:w="2413"/>
        <w:gridCol w:w="2411"/>
        <w:gridCol w:w="104"/>
        <w:gridCol w:w="1869"/>
      </w:tblGrid>
      <w:tr>
        <w:trPr/>
        <w:tc>
          <w:tcPr>
            <w:tcW w:w="9806" w:type="dxa"/>
            <w:gridSpan w:val="5"/>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DESCRIPTORES DE CONTENIDOS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b/>
              </w:rPr>
              <w:t xml:space="preserve">Clases teóricas: 1. Fundamentos teóricos de la agroecología política.2. Caracterización de la crisis alimentaria global3. Caracterización del régimen alimentario corporativo4. Un cambio necesario en el marco cognitivo5. Un diseño institucional para la transición agroecológica6. Gobernanza democrática y Estado difuso para la transición agroecológica7. Estrategias para el escalamiento de la agroecología8. Protagonistas de la transición agroecológica9. Alianzas sociales y populismo alimentario10. Introducción a la justicia ambiental.11. Crisis ecológica y desigualdad social: el ecologismo de los pobres.12. Tipología de los actores ambientales.13. Movimientos sociales (históricos y modernos) respecto a la cuestión medioambiental14. Los límites y paradojas de la acción colectiva ambiental.15. Nuevos movimientos globales frente a la crisis de sustentabilidadClases prácticas y actividades dirigidas:Se realizará un seminario dedicado al análisis de los textos sobre la naturaleza y la crisis ecológica. Para ello se facilitará a los grupos con antelación varios textos para discutir de entre los recogidos en la bibliografía.</w:t>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ACTIVIDADES FORMATIVAS Y METODOLOGÍAS DOCENTES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r>
          </w:p>
        </w:tc>
      </w:tr>
      <w:tr>
        <w:trPr/>
        <w:tc>
          <w:tcPr>
            <w:tcW w:w="3009"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Actividad formativa</w:t>
            </w:r>
          </w:p>
        </w:tc>
        <w:tc>
          <w:tcPr>
            <w:tcW w:w="2413"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Modalidad de enseñanza</w:t>
            </w:r>
          </w:p>
        </w:tc>
        <w:tc>
          <w:tcPr>
            <w:tcW w:w="2411"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autónomo del estudiante)</w:t>
            </w:r>
          </w:p>
        </w:tc>
        <w:tc>
          <w:tcPr>
            <w:tcW w:w="1973" w:type="dxa"/>
            <w:gridSpan w:val="2"/>
            <w:tcBorders>
              <w:left w:val="single" w:sz="4" w:space="0" w:color="000000"/>
              <w:bottom w:val="single" w:sz="4" w:space="0" w:color="000000"/>
              <w:right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lectivas del estudiante con apoyo del profesor)</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expositivas y prácticas (presenciales, síncronas y/o asíncronas)</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15</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dirigidas y/o supervisadas académicamente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15</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autónomas del estudiante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SIN DETERMINAR</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45</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0</w:t>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SISTEMA DE EVALUACIÓN</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La asignatura será evaluada a través de la realización de un trabajo individual de reflexión y análisis utilizando las lecturas y los contenidos facilitados en clase y en la moodle. </w:t>
            </w:r>
            <w:r>
              <w:t xml:space="preserve"/>
              <w:br/>
              <w:t xml:space="preserve"/>
            </w:r>
            <w:r>
              <w:rPr>
                <w:sz w:val="22"/>
                <w:szCs w:val="22"/>
              </w:rPr>
              <w:t xml:space="preserve">Al final de la asignatura habrá una actividad de debate y puesta en común de los contenidos y las principales aportaciones prácticas. </w:t>
            </w:r>
            <w:r>
              <w:t xml:space="preserve"/>
              <w:br/>
              <w:t xml:space="preserve"/>
            </w:r>
            <w:r>
              <w:rPr>
                <w:sz w:val="22"/>
                <w:szCs w:val="22"/>
              </w:rPr>
              <w:t xml:space="preserve">Estos trabajos tendrán que entregarse antes del plazo máximo subiendo un archivo como tarea en el apartado correspondiente de la asignatura en la moodle.</w:t>
            </w:r>
            <w:r>
              <w:t xml:space="preserve"/>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pacing w:before="0" w:after="0"/>
              <w:contextualSpacing/>
              <w:jc w:val="center"/>
              <w:rPr>
                <w:rFonts w:eastAsia="Tahoma" w:cs="Calibri"/>
                <w:b/>
                <w:b/>
                <w:sz w:val="26"/>
                <w:szCs w:val="26"/>
              </w:rPr>
            </w:pPr>
            <w:r>
              <w:rPr>
                <w:rFonts w:eastAsia="NSimSun" w:cs="Calibri" w:cstheme="minorHAnsi"/>
                <w:b/>
                <w:color w:val="000000"/>
                <w:kern w:val="2"/>
                <w:sz w:val="22"/>
                <w:szCs w:val="22"/>
                <w:lang w:val="es-ES" w:eastAsia="zh-CN" w:bidi="hi-IN"/>
              </w:rPr>
              <w:t/>
            </w:r>
            <w:r>
              <w:rPr>
                <w:rFonts w:eastAsia="Tahoma" w:cs="Calibri" w:cstheme="minorHAnsi"/>
                <w:b/>
                <w:color w:val="000000"/>
                <w:kern w:val="2"/>
                <w:sz w:val="26"/>
                <w:szCs w:val="26"/>
                <w:lang w:val="es-ES" w:eastAsia="zh-CN" w:bidi="hi-IN"/>
              </w:rPr>
              <w:t>Estrategias/metodologías de evaluación</w:t>
            </w:r>
            <w:r>
              <w:rPr>
                <w:rFonts w:eastAsia="NSimSun" w:cs="Calibri" w:cstheme="minorHAnsi"/>
                <w:b/>
                <w:color w:val="000000"/>
                <w:kern w:val="2"/>
                <w:sz w:val="22"/>
                <w:szCs w:val="22"/>
                <w:lang w:val="es-ES" w:eastAsia="zh-CN" w:bidi="hi-IN"/>
              </w:rPr>
              <w:t/>
            </w:r>
          </w:p>
        </w:tc>
        <w:tc>
          <w:tcPr>
            <w:tcW w:w="1869" w:type="dxa"/>
            <w:tcBorders>
              <w:left w:val="single" w:sz="4" w:space="0" w:color="000000"/>
              <w:bottom w:val="single" w:sz="4" w:space="0" w:color="000000"/>
              <w:right w:val="single" w:sz="4" w:space="0" w:color="000000"/>
            </w:tcBorders>
            <w:shd w:color="auto" w:fill="BFBFBF" w:themeFill="background1" w:themeFillShade="bf"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Tahoma" w:cs="Calibri" w:cstheme="minorHAnsi"/>
                <w:b/>
              </w:rPr>
              <w:t>Porcentaje de valoración sobre el total</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Informes/memorias de prácticas</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70%</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Realización y exposición de trabajos en grupo</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30%</w:t>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MEDIOS Y RECURSOS DIDÁCTICOS</w:t>
            </w:r>
          </w:p>
        </w:tc>
      </w:tr>
      <w:tr>
        <w:trPr/>
        <w:tc>
          <w:tcPr>
            <w:tcW w:w="9806" w:type="dxa"/>
            <w:gridSpan w:val="5"/>
            <w:tcBorders>
              <w:left w:val="single" w:sz="4" w:space="0" w:color="000000"/>
              <w:bottom w:val="single" w:sz="4" w:space="0" w:color="000000"/>
              <w:right w:val="single" w:sz="4" w:space="0" w:color="000000"/>
            </w:tcBorders>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Lección magistral    </w:t>
            </w:r>
            <w:r>
              <w:t xml:space="preserve"/>
              <w:br/>
              <w:t xml:space="preserve"/>
            </w:r>
            <w:r>
              <w:rPr>
                <w:sz w:val="22"/>
                <w:szCs w:val="22"/>
              </w:rPr>
              <w:t xml:space="preserve">Trabajos en grupo y/o exposiciones en grupo</w:t>
            </w:r>
            <w:r>
              <w:t xml:space="preserve"/>
              <w:br/>
              <w:t xml:space="preserve"/>
            </w:r>
            <w:r>
              <w:rPr>
                <w:sz w:val="22"/>
                <w:szCs w:val="22"/>
              </w:rPr>
              <w:t xml:space="preserve">Estudio y análisis de materiales y lecturas</w:t>
            </w:r>
            <w:r>
              <w:t xml:space="preserve"/>
              <w:br/>
              <w:t xml:space="preserve"/>
            </w:r>
            <w:r>
              <w:t xml:space="preserve"/>
              <w:br/>
              <w:t xml:space="preserve"/>
            </w:r>
            <w:r>
              <w:t xml:space="preserve"/>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BIBLIOGRAFÍA</w:t>
            </w:r>
          </w:p>
        </w:tc>
      </w:tr>
      <w:tr>
        <w:trPr>
          <w:trHeight w:val="522" w:hRule="atLeast"/>
        </w:trPr>
        <w:tc>
          <w:tcPr>
            <w:tcW w:w="9806" w:type="dxa"/>
            <w:gridSpan w:val="5"/>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Aguiar, F. Barragán, J., Lara, N. Economía, Sociedad y Teoría de Juegos. McGraw Hill. 2007 Altieri, M.A, (1987), Agroecology. The Sicentific Basis of Alternative Agriculture. Boulder, CO: Westview Press.</w:t>
            </w:r>
            <w:r>
              <w:t xml:space="preserve"/>
              <w:br/>
              <w:t xml:space="preserve"/>
            </w:r>
            <w:r>
              <w:rPr>
                <w:sz w:val="22"/>
                <w:szCs w:val="22"/>
              </w:rPr>
              <w:t xml:space="preserve">Altieri, M.A. (1995), Creating the Synergisms for a Sustainable Agriculture. UNDP Guidebook Series, NY]</w:t>
            </w:r>
            <w:r>
              <w:t xml:space="preserve"/>
              <w:br/>
              <w:t xml:space="preserve"/>
            </w:r>
            <w:r>
              <w:rPr>
                <w:sz w:val="22"/>
                <w:szCs w:val="22"/>
              </w:rPr>
              <w:t xml:space="preserve">Altieri, M.A. (2006). Agroecología: perspectivas para una agricultura biodiversa y sustentable. Ecuador, Universidad Técnica Particular de Loja.</w:t>
            </w:r>
            <w:r>
              <w:t xml:space="preserve"/>
              <w:br/>
              <w:t xml:space="preserve"/>
            </w:r>
            <w:r>
              <w:rPr>
                <w:sz w:val="22"/>
                <w:szCs w:val="22"/>
              </w:rPr>
              <w:t xml:space="preserve">Garrido, Francisco, González de Molina, Manuel, Serrano, José Luis y Solana, José Luis (eds.): El paradigma ecológico en las ciencias sociales, Barcelona, Icaria.</w:t>
            </w:r>
            <w:r>
              <w:t xml:space="preserve"/>
              <w:br/>
              <w:t xml:space="preserve"/>
            </w:r>
            <w:r>
              <w:rPr>
                <w:sz w:val="22"/>
                <w:szCs w:val="22"/>
              </w:rPr>
              <w:t xml:space="preserve">Gliessman, S.R. (2007) Agroecology: The Ecology of Sustainable Food Systems, Boca Raton, FL, CRC Press, Taylor Francis Group.</w:t>
            </w:r>
            <w:r>
              <w:t xml:space="preserve"/>
              <w:br/>
              <w:t xml:space="preserve"/>
            </w:r>
            <w:r>
              <w:rPr>
                <w:sz w:val="22"/>
                <w:szCs w:val="22"/>
              </w:rPr>
              <w:t xml:space="preserve">Arias Maldonado, M.,. Sueño y mentira del ecologismo. Siglo XXI. 2008.</w:t>
            </w:r>
            <w:r>
              <w:t xml:space="preserve"/>
              <w:br/>
              <w:t xml:space="preserve"/>
            </w:r>
            <w:r>
              <w:rPr>
                <w:sz w:val="22"/>
                <w:szCs w:val="22"/>
              </w:rPr>
              <w:t xml:space="preserve">Calle Collado, A. Nuevos movimientos globales. Hacia la radicalidad democrática, Madrid, Editorial Popular, 2005.</w:t>
            </w:r>
            <w:r>
              <w:t xml:space="preserve"/>
              <w:br/>
              <w:t xml:space="preserve"/>
            </w:r>
            <w:r>
              <w:rPr>
                <w:sz w:val="22"/>
                <w:szCs w:val="22"/>
              </w:rPr>
              <w:t xml:space="preserve">Dobson, A. Pensamiento verde. Una nueva ideología para el siglo XXI. Paidos.1997.</w:t>
            </w:r>
            <w:r>
              <w:t xml:space="preserve"/>
              <w:br/>
              <w:t xml:space="preserve"/>
            </w:r>
            <w:r>
              <w:rPr>
                <w:sz w:val="22"/>
                <w:szCs w:val="22"/>
              </w:rPr>
              <w:t xml:space="preserve">García Gómez-Heras, J. M.Velayos, C. (Coord.). Tomarse en serio la naturaleza. Biblioteca Nueva. 2004.</w:t>
            </w:r>
            <w:r>
              <w:t xml:space="preserve"/>
              <w:br/>
              <w:t xml:space="preserve"/>
            </w:r>
            <w:r>
              <w:rPr>
                <w:sz w:val="22"/>
                <w:szCs w:val="22"/>
              </w:rPr>
              <w:t xml:space="preserve">Garrido Peña, F., González de Molina Navarro, M. Serrano Moreno, J.L. Solana .J.L. (Ed.) El paradigma ecológico en las ciencias sociales. Icaria 2007.</w:t>
            </w:r>
            <w:r>
              <w:t xml:space="preserve"/>
              <w:br/>
              <w:t xml:space="preserve"/>
            </w:r>
            <w:r>
              <w:rPr>
                <w:sz w:val="22"/>
                <w:szCs w:val="22"/>
              </w:rPr>
              <w:t xml:space="preserve">Garrido Peña. F (Ed) . Introducción a la ecología política. Ecoramas. 1993.</w:t>
            </w:r>
            <w:r>
              <w:t xml:space="preserve"/>
              <w:br/>
              <w:t xml:space="preserve"/>
            </w:r>
            <w:r>
              <w:rPr>
                <w:sz w:val="22"/>
                <w:szCs w:val="22"/>
              </w:rPr>
              <w:t xml:space="preserve">Garrido Peña, F.. La ecología política como política del tiempo. Ecorama. 1997.</w:t>
            </w:r>
            <w:r>
              <w:t xml:space="preserve"/>
              <w:br/>
              <w:t xml:space="preserve"/>
            </w:r>
            <w:r>
              <w:rPr>
                <w:sz w:val="22"/>
                <w:szCs w:val="22"/>
              </w:rPr>
              <w:t xml:space="preserve">Goodin, Robert. E. Teoría del Diseño Institucional. Gedisa. 2003.</w:t>
            </w:r>
            <w:r>
              <w:t xml:space="preserve"/>
              <w:br/>
              <w:t xml:space="preserve"/>
            </w:r>
            <w:r>
              <w:rPr>
                <w:sz w:val="22"/>
                <w:szCs w:val="22"/>
              </w:rPr>
              <w:t xml:space="preserve">González de Molina, M.; Alonso, A. y Guzmán, G., “La agricultura ecológica en España desde una perspectiva agroecológica”, en Revista de Estudios Agrosociales y Pesqueros, nº 214(2), 2007, pp. 47-76.</w:t>
            </w:r>
            <w:r>
              <w:t xml:space="preserve"/>
              <w:br/>
              <w:t xml:space="preserve"/>
            </w:r>
            <w:r>
              <w:rPr>
                <w:sz w:val="22"/>
                <w:szCs w:val="22"/>
              </w:rPr>
              <w:t xml:space="preserve">Guha, R.; Martínez-Alier, J., Varieties of environmentalism. Essays north and south, Earthscan, London, 1997</w:t>
            </w:r>
            <w:r>
              <w:t xml:space="preserve"/>
              <w:br/>
              <w:t xml:space="preserve"/>
            </w:r>
            <w:r>
              <w:rPr>
                <w:sz w:val="22"/>
                <w:szCs w:val="22"/>
              </w:rPr>
              <w:t xml:space="preserve">Puleo García, A. Filosofía, género y pensamiento crítico. Universidad de Valladolid. 2000.</w:t>
            </w:r>
            <w:r>
              <w:t xml:space="preserve"/>
              <w:br/>
              <w:t xml:space="preserve"/>
            </w:r>
            <w:r>
              <w:rPr>
                <w:sz w:val="22"/>
                <w:szCs w:val="22"/>
              </w:rPr>
              <w:t xml:space="preserve">Redclift, Michael and Woodgate, Graham (2005): Sociología del medio ambiente. Una perspectiva internacional, Madrid, McGraw Hill.</w:t>
            </w:r>
            <w:r>
              <w:t xml:space="preserve"/>
              <w:br/>
              <w:t xml:space="preserve"/>
            </w:r>
            <w:r>
              <w:rPr>
                <w:sz w:val="22"/>
                <w:szCs w:val="22"/>
              </w:rPr>
              <w:t xml:space="preserve">Sevilla Guzmán, E. (2006). De la sociología rural a la Agroecología Barcelona: Icaria.</w:t>
            </w:r>
            <w:r>
              <w:t xml:space="preserve"/>
              <w:br/>
              <w:t xml:space="preserve"/>
            </w:r>
            <w:r>
              <w:rPr>
                <w:sz w:val="22"/>
                <w:szCs w:val="22"/>
              </w:rPr>
              <w:t xml:space="preserve">Sevilla Guzmán, E. y Martinez Alier, J. (2007) “New rural social movements and Agroecology” editado por P.</w:t>
            </w:r>
            <w:r>
              <w:t xml:space="preserve"/>
              <w:br/>
              <w:t xml:space="preserve"/>
            </w:r>
            <w:r>
              <w:rPr>
                <w:sz w:val="22"/>
                <w:szCs w:val="22"/>
              </w:rPr>
              <w:t xml:space="preserve">Cloke, Terry Marsden and P.Mooney, Handbook of Rural Studies. London: SAGE Publications, pp. 472-483.</w:t>
            </w:r>
            <w:r>
              <w:t xml:space="preserve"/>
              <w:br/>
              <w:t xml:space="preserve"/>
            </w:r>
            <w:r>
              <w:rPr>
                <w:sz w:val="22"/>
                <w:szCs w:val="22"/>
              </w:rPr>
              <w:t xml:space="preserve">Sevilla Guzmán, Eduardo (2006): Desde el pensamiento social agrario. Perspectivas agroecológicas del instituto de sociología y estudios campesinos, Córdoba, Spedding, C.R. W. 1988. An Introduction to</w:t>
            </w:r>
            <w:r>
              <w:t xml:space="preserve"/>
              <w:br/>
              <w:t xml:space="preserve"/>
            </w:r>
            <w:r>
              <w:rPr>
                <w:sz w:val="22"/>
                <w:szCs w:val="22"/>
              </w:rPr>
              <w:t xml:space="preserve">Agricultural Systems 1ª ed. 1979. Elsevier Applied Science. London</w:t>
            </w:r>
            <w:r>
              <w:t xml:space="preserve"/>
              <w:br/>
              <w:t xml:space="preserve"/>
            </w:r>
            <w:r>
              <w:rPr>
                <w:sz w:val="22"/>
                <w:szCs w:val="22"/>
              </w:rPr>
              <w:t xml:space="preserve">Leff, E. La racionalidad ambiental. Siglo XXI Editores. 2004.</w:t>
            </w:r>
            <w:r>
              <w:t xml:space="preserve"/>
              <w:br/>
              <w:t xml:space="preserve"/>
            </w:r>
            <w:r>
              <w:rPr>
                <w:sz w:val="22"/>
                <w:szCs w:val="22"/>
              </w:rPr>
              <w:t xml:space="preserve">Leff, E. Ciencias Sociales y formación ambiental. Gedisa.1994.</w:t>
            </w:r>
            <w:r>
              <w:t xml:space="preserve"/>
              <w:br/>
              <w:t xml:space="preserve"/>
            </w:r>
            <w:r>
              <w:rPr>
                <w:sz w:val="22"/>
                <w:szCs w:val="22"/>
              </w:rPr>
              <w:t xml:space="preserve">Toledo, V.M., J. Carabias, C. Mapes y C. Toledo (1985), Ecología y Autosuficiencia Alimentaria. Siglo Veintiuno Editores. México, D.F.</w:t>
            </w:r>
            <w:r>
              <w:t xml:space="preserve"/>
              <w:br/>
              <w:t xml:space="preserve"/>
            </w:r>
            <w:r>
              <w:rPr>
                <w:sz w:val="22"/>
                <w:szCs w:val="22"/>
              </w:rPr>
              <w:t xml:space="preserve">Toledo, Victor M. y Narciso Barrera-Bassols (2008) La memoria biocultural, Barcelona, ICARIA </w:t>
            </w:r>
            <w:r>
              <w:t xml:space="preserve"/>
              <w:br/>
              <w:t xml:space="preserve"/>
            </w:r>
            <w:r>
              <w:rPr>
                <w:sz w:val="22"/>
                <w:szCs w:val="22"/>
              </w:rPr>
              <w:t xml:space="preserve">Universidad de Córdoba.</w:t>
            </w:r>
            <w:r>
              <w:t xml:space="preserve"/>
              <w:br/>
              <w:t xml:space="preserve"/>
            </w:r>
            <w:r>
              <w:rPr>
                <w:sz w:val="22"/>
                <w:szCs w:val="22"/>
              </w:rPr>
              <w:t xml:space="preserve">Van der Ploeg, Jan Douwe (2008): The New Peasantries, Londres, Earthscan.</w:t>
            </w:r>
            <w:r>
              <w:t xml:space="preserve"/>
              <w:br/>
              <w:t xml:space="preserve"/>
            </w:r>
            <w:r>
              <w:t xml:space="preserve"/>
              <w:br/>
              <w:t xml:space="preserve"/>
            </w:r>
            <w:r>
              <w:t xml:space="preserve"/>
            </w:r>
          </w:p>
        </w:tc>
      </w:tr>
      <w:tr>
        <w:trPr>
          <w:trHeight w:val="413" w:hRule="atLeast"/>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PLAN DE CONTINGENCIA</w:t>
            </w:r>
          </w:p>
        </w:tc>
      </w:tr>
      <w:tr>
        <w:trPr>
          <w:trHeight w:val="522" w:hRule="atLeast"/>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t xml:space="preserve"/>
            </w:r>
            <w:r>
              <w:rPr>
                <w:rFonts w:eastAsia="NSimSun" w:cs="Calibri" w:cstheme="minorHAnsi"/>
                <w:b w:val="false"/>
                <w:bCs w:val="false"/>
                <w:color w:val="000000"/>
                <w:kern w:val="2"/>
                <w:sz w:val="24"/>
                <w:szCs w:val="24"/>
                <w:lang w:eastAsia="zh-CN" w:bidi="hi-IN"/>
              </w:rPr>
              <w:t/>
            </w:r>
          </w:p>
        </w:tc>
      </w:tr>
    </w:tbl>
    <w:p>
      <w:pPr>
        <w:pStyle w:val="TableContents"/>
        <w:spacing w:before="0" w:after="160"/>
        <w:jc w:val="both"/>
        <w:rPr>
          <w:rFonts w:ascii="Serif" w:hAnsi="Serif"/>
        </w:rPr>
      </w:pPr>
      <w:r>
        <w:rPr>
          <w:rFonts w:ascii="Serif" w:hAnsi="Serif"/>
        </w:rPr>
      </w:r>
    </w:p>
    <w:p>
      <w:pPr>
        <w:pStyle w:val="TableContents"/>
        <w:spacing w:before="0" w:after="160"/>
        <w:jc w:val="both"/>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En Sevilla, a 15 de julio de 2024.</w:t>
      </w:r>
    </w:p>
    <w:p>
      <w:pPr>
        <w:pStyle w:val="TableContents"/>
        <w:widowControl/>
        <w:suppressAutoHyphens w:val="true"/>
        <w:bidi w:val="0"/>
        <w:spacing w:lineRule="auto" w:line="312" w:before="0" w:after="160"/>
        <w:ind w:left="-567" w:right="0" w:hanging="0"/>
        <w:jc w:val="right"/>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Fdo.: González de Molina, Manuel</w:t>
      </w:r>
    </w:p>
    <w:p>
      <w:pPr>
        <w:pStyle w:val="TableContents"/>
        <w:widowControl/>
        <w:suppressAutoHyphens w:val="true"/>
        <w:bidi w:val="0"/>
        <w:spacing w:lineRule="auto" w:line="312" w:before="0" w:after="160"/>
        <w:ind w:left="-567" w:right="0" w:hanging="0"/>
        <w:jc w:val="right"/>
        <w:rPr>
          <w:rFonts w:ascii="Serif" w:hAnsi="Serif"/>
        </w:rPr>
      </w:pPr>
      <w:r>
        <w:rPr>
          <w:rFonts w:ascii="Serif" w:hAnsi="Serif"/>
        </w:rPr>
      </w:r>
    </w:p>
    <w:p>
      <w:pPr>
        <w:pStyle w:val="Normal"/>
        <w:widowControl/>
        <w:suppressAutoHyphens w:val="true"/>
        <w:bidi w:val="0"/>
        <w:spacing w:lineRule="auto" w:line="312" w:before="120" w:after="120"/>
        <w:ind w:left="-567" w:right="0" w:hanging="0"/>
        <w:contextualSpacing/>
        <w:jc w:val="left"/>
        <w:rPr>
          <w:sz w:val="10"/>
          <w:szCs w:val="10"/>
        </w:rPr>
      </w:pPr>
      <w:r>
        <w:rPr>
          <w:rFonts w:ascii="Times New Roman" w:hAnsi="Times New Roman"/>
          <w:sz w:val="10"/>
          <w:szCs w:val="10"/>
        </w:rPr>
        <w:t>            Conforme a lo dispuesto en la legislación vigente en materia de protección de datos de carácter personal(Reglamento(UE) 2016/679, de 27 de abril) le informamos que los datos personales que nos ha facilitado pasarán a ser tratados por la UNIVERSIDAD INTERNACONAL DE ANDALUCÍA como responsable del tratamiento, siendo órgano competente en la materia la Dirección del Área de Gestión Académica(Monasterio Santa María de las Cuevas, C / Américo Vespucio nº2. Isla de La Cartuja - 41092 - Sevilla) ante quien Ud. puede ejercitar sus derechos de acceso, rectificación, limitación, oposición o portabilidad señalando concretamente la causa de su solicitud y acompañando copia de su documento acreditativo de identidad. La solicitud podrá hacerse mediante escrito en formato papel o por medios electrónicos.
</w:t>
        <w:br/>
        <w:t xml:space="preserve">
</w:t>
        <w:br/>
        <w:t xml:space="preserve">            Caso de no obtener contestación o ver desestimada su solicitud puede dirigirse al Delegado de Protección de Datos de la Universidad(rgpd@unia.es Tfno 954 462299) o en reclamación a la Agencia Española de Protección de Datos a través de los formularios que esa entidad tiene habilitados al efecto y que son accesibles desde su página web: https: // sedeagpd.gob.es
</w:t>
        <w:br/>
        <w:t xml:space="preserve">
</w:t>
        <w:br/>
        <w:t xml:space="preserve">            Como responsable, la Universidad le informa que exclusivamente tratará los datos personales que Ud. le facilite para dar cumplimiento a los siguientes fines:
</w:t>
        <w:br/>
        <w:t xml:space="preserve">            a)    Gestión académica y administrativa de:
</w:t>
        <w:br/>
        <w:t xml:space="preserve">                •    Participación en procesos de acceso y admisión a las enseñanzas oficiales(Grado, Máster y Doctorado) o de formación Continua de la Universidad Internacional de Andalucía.
</w:t>
        <w:br/>
        <w:t xml:space="preserve">                •    Inscripción y/o matrícula como alumno en cualquiera de las titulaciones oficiales(Grado, Máster y Doctorado), Formación Continua u otras actividades académicas ofrecidas por la Universidad Internacional de    Andalucía.
</w:t>
        <w:br/>
        <w:t xml:space="preserve">                •    Participación en convocatorias de becas y ayudas al estudio de la Universidad Internacional de Andalucía, la Admón. General del Estado o la de las Comunidades Autónomas y de otras entidades públicas o privadas.
</w:t>
        <w:br/>
        <w:t xml:space="preserve">                •    Participación en convocatorias de programas de movilidad de carácter nacional o internacional.
</w:t>
        <w:br/>
        <w:t xml:space="preserve">                •    Obtención y expedición de títulos oficiales, títulos propios y otros títulos académico
</w:t>
        <w:br/>
        <w:t xml:space="preserve">            b)    Gestión de su participación como estudiante en prácticas y actividades formativas nacionales o internacionales en instituciones, empresas, organismos o en otros centros.
</w:t>
        <w:br/>
        <w:t xml:space="preserve">            c)    Utilización de servicios universitarios como obtención del carné universitario, bibliotecas, actividades deportivas u otros.
</w:t>
        <w:br/>
        <w:t xml:space="preserve">
</w:t>
        <w:br/>
        <w:t xml:space="preserve">            La Universidad se encuentra legitimada para tratar estos datos al ser necesarios para la ejecución de la relación jurídica establecida entre Ud. y la Universidad y para que ésta pueda cumplir con sus obligaciones legales establecidas en la Ley Orgánica 6/2001, de Universidades.
</w:t>
        <w:br/>
        <w:t xml:space="preserve">            Usted responde de la veracidad de los datos personales que ha proporcionado a la Universidad y de su actualización.
</w:t>
        <w:br/>
        <w:t xml:space="preserve">            La Universidad comunicará los datos personales que sean indispensables, y nunca en otro caso, a las siguientes categorías de destinatarios:
</w:t>
        <w:br/>
        <w:t xml:space="preserve">                •    A otras Administraciones y organismos públicos para el ejercicio de las competencias que les sean propias y compatibles con las finalidades arriba enunciadas(Así - a modo enunciativo y no limitativo - a Ministerios con competencias en educación y ciencia, a otras administraciones, a otras Universidades o Centros formativos equivalentes para la gestión de traslados, a empresas para la realización de prácticas)
</w:t>
        <w:br/>
        <w:t xml:space="preserve">                •    A entidades bancarias para la gestión de pagos y cobros.
</w:t>
        <w:br/>
        <w:t xml:space="preserve">                •    A organismos públicos o privados en virtud de la celebración de convenios de colaboración o contratos, conforme a lo dispuesto en la legislación vigente en materia de Protección de Datos.
</w:t>
        <w:br/>
        <w:t xml:space="preserve">                •    A los servicios de la propia Universidad que sean adecuados para gestionar la utilización de los servicios universitarios ofertados.
</w:t>
        <w:br/>
        <w:t xml:space="preserve">            Sus datos de carácter personal se tratarán y conservarán por la Universidad conforme a la legislación vigente en materia de protección de datos, pasando luego a formar parte –previo expurgo - del Archivo Histórico Universitario conforme a lo dispuesto en la legislación sobre Patrimonio Histórico.
</w:t>
        <w:br/>
        <w:t xml:space="preserve">
</w:t>
        <w:br/>
        <w:t xml:space="preserve">            La Universidad sólo prevé la transferencia de datos a terceros países en el caso de su participación como alumno en alguno de los programas de formación o becas de carácter internacional. La transferencia se realizará siguiendo las directrices establecidas al respecto por el Reglamento Europeo de Protección de Datos y normativa de desarrollo.
</w:t>
        <w:br/>
        <w:t xml:space="preserve">            El Servicio de Protección de Datos de la Universidad Internacional de Andalucía cuenta con una página en la que incluye legislación, información y modelos en relación con la Protección de Datos Personales a la que puede acceder desde el siguiente enlace:  https://www.unia.es/protecciondatos</w:t>
      </w:r>
    </w:p>
    <w:sectPr>
      <w:headerReference w:type="default" r:id="rId6"/>
      <w:footerReference w:type="default" r:id="rId7"/>
      <w:type w:val="nextPage"/>
      <w:pgSz w:w="11906" w:h="16838"/>
      <w:pgMar w:left="1701" w:right="1701" w:header="567" w:top="1418" w:footer="709" w:bottom="141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mbria">
    <w:charset w:val="01"/>
    <w:family w:val="roman"/>
    <w:pitch w:val="variable"/>
  </w:font>
  <w:font w:name="Segoe UI">
    <w:charset w:val="01"/>
    <w:family w:val="roman"/>
    <w:pitch w:val="variable"/>
  </w:font>
  <w:font w:name="Liberation Mono">
    <w:altName w:val="Courier New"/>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erif">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18311391"/>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2</w:t>
        </w:r>
        <w:r>
          <w:rPr>
            <w:sz w:val="18"/>
            <w:szCs w:val="18"/>
          </w:rPr>
          <w:fldChar w:fldCharType="end"/>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83614652"/>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5</w:t>
        </w:r>
        <w:r>
          <w:rPr>
            <w:sz w:val="18"/>
            <w:szCs w:val="18"/>
          </w:rPr>
          <w:fldChar w:fldCharType="end"/>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9808" w:type="dxa"/>
      <w:jc w:val="left"/>
      <w:tblInd w:w="-520" w:type="dxa"/>
      <w:tblCellMar>
        <w:top w:w="0" w:type="dxa"/>
        <w:left w:w="108" w:type="dxa"/>
        <w:bottom w:w="0" w:type="dxa"/>
        <w:right w:w="108" w:type="dxa"/>
      </w:tblCellMar>
      <w:tblLook w:val="0000" w:noHBand="0" w:noVBand="0" w:firstColumn="0" w:lastRow="0" w:lastColumn="0" w:firstRow="0"/>
    </w:tblPr>
    <w:tblGrid>
      <w:gridCol w:w="4419"/>
      <w:gridCol w:w="5388"/>
    </w:tblGrid>
    <w:tr>
      <w:trPr/>
      <w:tc>
        <w:tcPr>
          <w:tcW w:w="4419" w:type="dxa"/>
          <w:tcBorders/>
          <w:shd w:color="auto" w:fill="auto" w:val="clear"/>
          <w:vAlign w:val="center"/>
        </w:tcPr>
        <w:p>
          <w:pPr>
            <w:pStyle w:val="Normal"/>
            <w:widowControl w:val="false"/>
            <w:suppressLineNumbers/>
            <w:tabs>
              <w:tab w:val="clear" w:pos="708"/>
              <w:tab w:val="center" w:pos="4819" w:leader="none"/>
              <w:tab w:val="right" w:pos="9638" w:leader="none"/>
            </w:tabs>
            <w:suppressAutoHyphens w:val="true"/>
            <w:spacing w:lineRule="auto" w:line="240" w:before="0" w:after="0"/>
            <w:textAlignment w:val="baseline"/>
            <w:rPr>
              <w:rFonts w:ascii="Times New Roman" w:hAnsi="Times New Roman" w:eastAsia="Times New Roman" w:cs="Times New Roman"/>
              <w:kern w:val="2"/>
              <w:sz w:val="20"/>
              <w:szCs w:val="20"/>
              <w:lang w:eastAsia="zh-CN"/>
            </w:rPr>
          </w:pPr>
          <w:r>
            <w:rPr>
              <w:rFonts w:eastAsia="Times New Roman" w:cs="Times New Roman" w:ascii="Times New Roman" w:hAnsi="Times New Roman"/>
              <w:kern w:val="2"/>
              <w:sz w:val="20"/>
              <w:szCs w:val="20"/>
              <w:lang w:eastAsia="zh-CN"/>
            </w:rPr>
            <w:drawing>
              <wp:anchor behindDoc="1" distT="0" distB="0" distL="0" distR="0" simplePos="0" locked="0" layoutInCell="1" allowOverlap="1" relativeHeight="4">
                <wp:simplePos x="0" y="0"/>
                <wp:positionH relativeFrom="column">
                  <wp:align>center</wp:align>
                </wp:positionH>
                <wp:positionV relativeFrom="paragraph">
                  <wp:posOffset>635</wp:posOffset>
                </wp:positionV>
                <wp:extent cx="2139950" cy="7086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1"/>
                        <a:stretch>
                          <a:fillRect/>
                        </a:stretch>
                      </pic:blipFill>
                      <pic:spPr bwMode="auto">
                        <a:xfrm>
                          <a:off x="0" y="0"/>
                          <a:ext cx="2139950" cy="708660"/>
                        </a:xfrm>
                        <a:prstGeom prst="rect">
                          <a:avLst/>
                        </a:prstGeom>
                      </pic:spPr>
                    </pic:pic>
                  </a:graphicData>
                </a:graphic>
              </wp:anchor>
            </w:drawing>
          </w:r>
        </w:p>
      </w:tc>
      <w:tc>
        <w:tcPr>
          <w:tcW w:w="5388" w:type="dxa"/>
          <w:tcBorders/>
          <w:shd w:color="auto" w:fill="auto" w:val="clear"/>
          <w:vAlign w:val="center"/>
        </w:tcPr>
        <w:p>
          <w:pPr>
            <w:pStyle w:val="Normal"/>
            <w:widowControl w:val="false"/>
            <w:spacing w:before="480" w:after="160"/>
            <w:jc w:val="right"/>
            <w:rPr>
              <w:sz w:val="28"/>
              <w:szCs w:val="28"/>
            </w:rPr>
          </w:pPr>
          <w:r>
            <w:rPr>
              <w:rFonts w:eastAsia="NSimSun" w:cs="Calibri" w:cstheme="minorHAnsi"/>
              <w:b/>
              <w:color w:val="000000"/>
              <w:kern w:val="2"/>
              <w:sz w:val="28"/>
              <w:szCs w:val="28"/>
              <w:lang w:bidi="hi-IN"/>
            </w:rPr>
            <w:t xml:space="preserve">  </w:t>
          </w:r>
          <w:r>
            <w:rPr>
              <w:rFonts w:eastAsia="NSimSun" w:cs="Calibri" w:cstheme="minorHAnsi"/>
              <w:b/>
              <w:color w:val="000000"/>
              <w:kern w:val="2"/>
              <w:sz w:val="28"/>
              <w:szCs w:val="28"/>
              <w:lang w:bidi="hi-IN"/>
            </w:rPr>
            <w:t>GUÍA DOCENTE</w:t>
          </w:r>
        </w:p>
      </w:tc>
    </w:tr>
  </w:tbl>
  <w:p>
    <w:pPr>
      <w:pStyle w:val="Header"/>
      <w:rPr>
        <w:rFonts w:eastAsia="NSimSun" w:cs="Calibri" w:cstheme="minorHAnsi"/>
        <w:b/>
        <w:b/>
        <w:color w:val="000000"/>
        <w:kern w:val="2"/>
        <w:sz w:val="28"/>
        <w:szCs w:val="28"/>
        <w:lang w:bidi="hi-IN"/>
      </w:rPr>
    </w:pPr>
    <w:r>
      <w:rPr>
        <w:rFonts w:eastAsia="NSimSun" w:cs="Calibri" w:cstheme="minorHAnsi"/>
        <w:b/>
        <w:color w:val="000000"/>
        <w:kern w:val="2"/>
        <w:sz w:val="28"/>
        <w:szCs w:val="28"/>
        <w:lang w:bidi="hi-IN"/>
      </w:rPr>
    </w:r>
  </w:p>
</w:hdr>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b6d50"/>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paragraph" w:styleId="Heading1">
    <w:name w:val="Heading 1"/>
    <w:basedOn w:val="Normal"/>
    <w:next w:val="Normal"/>
    <w:link w:val="Ttulo1Car"/>
    <w:qFormat/>
    <w:rsid w:val="00a938e0"/>
    <w:pPr>
      <w:keepNext w:val="true"/>
      <w:suppressAutoHyphens w:val="true"/>
      <w:spacing w:lineRule="auto" w:line="240" w:before="0" w:after="0"/>
      <w:jc w:val="center"/>
      <w:textAlignment w:val="baseline"/>
      <w:outlineLvl w:val="0"/>
    </w:pPr>
    <w:rPr>
      <w:rFonts w:ascii="Times New Roman" w:hAnsi="Times New Roman" w:eastAsia="Times New Roman" w:cs="Times New Roman"/>
      <w:b/>
      <w:kern w:val="2"/>
      <w:sz w:val="20"/>
      <w:szCs w:val="20"/>
      <w:lang w:eastAsia="zh-CN"/>
    </w:rPr>
  </w:style>
  <w:style w:type="paragraph" w:styleId="Heading2">
    <w:name w:val="Heading 2"/>
    <w:basedOn w:val="Normal"/>
    <w:next w:val="Normal"/>
    <w:link w:val="Ttulo2Car"/>
    <w:qFormat/>
    <w:rsid w:val="00a938e0"/>
    <w:pPr>
      <w:keepNext w:val="true"/>
      <w:suppressAutoHyphens w:val="true"/>
      <w:spacing w:lineRule="auto" w:line="240" w:before="240" w:after="60"/>
      <w:textAlignment w:val="baseline"/>
      <w:outlineLvl w:val="1"/>
    </w:pPr>
    <w:rPr>
      <w:rFonts w:ascii="Cambria" w:hAnsi="Cambria" w:eastAsia="Times New Roman" w:cs="Times New Roman"/>
      <w:b/>
      <w:bCs/>
      <w:i/>
      <w:iCs/>
      <w:kern w:val="2"/>
      <w:sz w:val="28"/>
      <w:szCs w:val="28"/>
      <w:lang w:eastAsia="zh-CN"/>
    </w:rPr>
  </w:style>
  <w:style w:type="paragraph" w:styleId="Heading3">
    <w:name w:val="Heading 3"/>
    <w:basedOn w:val="Normal"/>
    <w:next w:val="Normal"/>
    <w:link w:val="Ttulo3Car"/>
    <w:qFormat/>
    <w:rsid w:val="00a938e0"/>
    <w:pPr>
      <w:keepNext w:val="true"/>
      <w:suppressAutoHyphens w:val="true"/>
      <w:spacing w:lineRule="auto" w:line="240" w:before="240" w:after="60"/>
      <w:textAlignment w:val="baseline"/>
      <w:outlineLvl w:val="2"/>
    </w:pPr>
    <w:rPr>
      <w:rFonts w:ascii="Cambria" w:hAnsi="Cambria" w:eastAsia="Times New Roman" w:cs="Times New Roman"/>
      <w:b/>
      <w:bCs/>
      <w:kern w:val="2"/>
      <w:sz w:val="26"/>
      <w:szCs w:val="26"/>
      <w:lang w:eastAsia="zh-CN"/>
    </w:rPr>
  </w:style>
  <w:style w:type="paragraph" w:styleId="Heading4">
    <w:name w:val="Heading 4"/>
    <w:basedOn w:val="Normal"/>
    <w:next w:val="Normal"/>
    <w:link w:val="Ttulo4Car"/>
    <w:qFormat/>
    <w:rsid w:val="00a938e0"/>
    <w:pPr>
      <w:keepNext w:val="true"/>
      <w:suppressAutoHyphens w:val="true"/>
      <w:spacing w:lineRule="auto" w:line="240" w:before="0" w:after="0"/>
      <w:textAlignment w:val="baseline"/>
      <w:outlineLvl w:val="3"/>
    </w:pPr>
    <w:rPr>
      <w:rFonts w:ascii="Times New Roman" w:hAnsi="Times New Roman" w:eastAsia="Times New Roman" w:cs="Times New Roman"/>
      <w:b/>
      <w:kern w:val="2"/>
      <w:szCs w:val="20"/>
      <w:lang w:eastAsia="zh-CN"/>
    </w:rPr>
  </w:style>
  <w:style w:type="paragraph" w:styleId="Heading5">
    <w:name w:val="Heading 5"/>
    <w:basedOn w:val="Normal"/>
    <w:next w:val="Normal"/>
    <w:link w:val="Ttulo5Car"/>
    <w:qFormat/>
    <w:rsid w:val="00a938e0"/>
    <w:pPr>
      <w:keepNext w:val="true"/>
      <w:suppressAutoHyphens w:val="true"/>
      <w:spacing w:lineRule="auto" w:line="240" w:before="0" w:after="0"/>
      <w:jc w:val="both"/>
      <w:textAlignment w:val="baseline"/>
      <w:outlineLvl w:val="4"/>
    </w:pPr>
    <w:rPr>
      <w:rFonts w:ascii="Times New Roman" w:hAnsi="Times New Roman" w:eastAsia="Times New Roman" w:cs="Times New Roman"/>
      <w:b/>
      <w:kern w:val="2"/>
      <w:sz w:val="20"/>
      <w:szCs w:val="20"/>
      <w:lang w:eastAsia="zh-CN"/>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a938e0"/>
    <w:rPr/>
  </w:style>
  <w:style w:type="character" w:styleId="PiedepginaCar" w:customStyle="1">
    <w:name w:val="Pie de página Car"/>
    <w:basedOn w:val="DefaultParagraphFont"/>
    <w:uiPriority w:val="99"/>
    <w:qFormat/>
    <w:rsid w:val="00a938e0"/>
    <w:rPr/>
  </w:style>
  <w:style w:type="character" w:styleId="Ttulo1Car" w:customStyle="1">
    <w:name w:val="Título 1 Car"/>
    <w:basedOn w:val="DefaultParagraphFont"/>
    <w:qFormat/>
    <w:rsid w:val="00a938e0"/>
    <w:rPr>
      <w:rFonts w:ascii="Times New Roman" w:hAnsi="Times New Roman" w:eastAsia="Times New Roman" w:cs="Times New Roman"/>
      <w:b/>
      <w:kern w:val="2"/>
      <w:sz w:val="20"/>
      <w:szCs w:val="20"/>
      <w:lang w:eastAsia="zh-CN"/>
    </w:rPr>
  </w:style>
  <w:style w:type="character" w:styleId="Ttulo2Car" w:customStyle="1">
    <w:name w:val="Título 2 Car"/>
    <w:basedOn w:val="DefaultParagraphFont"/>
    <w:qFormat/>
    <w:rsid w:val="00a938e0"/>
    <w:rPr>
      <w:rFonts w:ascii="Cambria" w:hAnsi="Cambria" w:eastAsia="Times New Roman" w:cs="Times New Roman"/>
      <w:b/>
      <w:bCs/>
      <w:i/>
      <w:iCs/>
      <w:kern w:val="2"/>
      <w:sz w:val="28"/>
      <w:szCs w:val="28"/>
      <w:lang w:eastAsia="zh-CN"/>
    </w:rPr>
  </w:style>
  <w:style w:type="character" w:styleId="Ttulo3Car" w:customStyle="1">
    <w:name w:val="Título 3 Car"/>
    <w:basedOn w:val="DefaultParagraphFont"/>
    <w:qFormat/>
    <w:rsid w:val="00a938e0"/>
    <w:rPr>
      <w:rFonts w:ascii="Cambria" w:hAnsi="Cambria" w:eastAsia="Times New Roman" w:cs="Times New Roman"/>
      <w:b/>
      <w:bCs/>
      <w:kern w:val="2"/>
      <w:sz w:val="26"/>
      <w:szCs w:val="26"/>
      <w:lang w:eastAsia="zh-CN"/>
    </w:rPr>
  </w:style>
  <w:style w:type="character" w:styleId="Ttulo4Car" w:customStyle="1">
    <w:name w:val="Título 4 Car"/>
    <w:basedOn w:val="DefaultParagraphFont"/>
    <w:qFormat/>
    <w:rsid w:val="00a938e0"/>
    <w:rPr>
      <w:rFonts w:ascii="Times New Roman" w:hAnsi="Times New Roman" w:eastAsia="Times New Roman" w:cs="Times New Roman"/>
      <w:b/>
      <w:kern w:val="2"/>
      <w:szCs w:val="20"/>
      <w:lang w:eastAsia="zh-CN"/>
    </w:rPr>
  </w:style>
  <w:style w:type="character" w:styleId="Ttulo5Car" w:customStyle="1">
    <w:name w:val="Título 5 Car"/>
    <w:basedOn w:val="DefaultParagraphFont"/>
    <w:qFormat/>
    <w:rsid w:val="00a938e0"/>
    <w:rPr>
      <w:rFonts w:ascii="Times New Roman" w:hAnsi="Times New Roman" w:eastAsia="Times New Roman" w:cs="Times New Roman"/>
      <w:b/>
      <w:kern w:val="2"/>
      <w:sz w:val="20"/>
      <w:szCs w:val="20"/>
      <w:lang w:eastAsia="zh-CN"/>
    </w:rPr>
  </w:style>
  <w:style w:type="character" w:styleId="TextodegloboCar" w:customStyle="1">
    <w:name w:val="Texto de globo Car"/>
    <w:basedOn w:val="DefaultParagraphFont"/>
    <w:uiPriority w:val="99"/>
    <w:semiHidden/>
    <w:qFormat/>
    <w:rsid w:val="00bf3531"/>
    <w:rPr>
      <w:rFonts w:ascii="Segoe UI" w:hAnsi="Segoe UI" w:cs="Segoe UI"/>
      <w:sz w:val="18"/>
      <w:szCs w:val="18"/>
    </w:rPr>
  </w:style>
  <w:style w:type="character" w:styleId="InternetLink">
    <w:name w:val="Hyperlink"/>
    <w:basedOn w:val="DefaultParagraphFont"/>
    <w:uiPriority w:val="99"/>
    <w:unhideWhenUsed/>
    <w:rsid w:val="00ab01e2"/>
    <w:rPr>
      <w:color w:val="0563C1" w:themeColor="hyperlink"/>
      <w:u w:val="single"/>
    </w:rPr>
  </w:style>
  <w:style w:type="character" w:styleId="Annotationreference">
    <w:name w:val="annotation reference"/>
    <w:basedOn w:val="DefaultParagraphFont"/>
    <w:uiPriority w:val="99"/>
    <w:semiHidden/>
    <w:unhideWhenUsed/>
    <w:qFormat/>
    <w:rsid w:val="004c72f0"/>
    <w:rPr>
      <w:sz w:val="16"/>
      <w:szCs w:val="16"/>
    </w:rPr>
  </w:style>
  <w:style w:type="character" w:styleId="TextocomentarioCar" w:customStyle="1">
    <w:name w:val="Texto comentario Car"/>
    <w:basedOn w:val="DefaultParagraphFont"/>
    <w:uiPriority w:val="99"/>
    <w:semiHidden/>
    <w:qFormat/>
    <w:rsid w:val="004c72f0"/>
    <w:rPr>
      <w:sz w:val="20"/>
      <w:szCs w:val="20"/>
    </w:rPr>
  </w:style>
  <w:style w:type="character" w:styleId="AsuntodelcomentarioCar" w:customStyle="1">
    <w:name w:val="Asunto del comentario Car"/>
    <w:basedOn w:val="TextocomentarioCar"/>
    <w:uiPriority w:val="99"/>
    <w:semiHidden/>
    <w:qFormat/>
    <w:rsid w:val="004c72f0"/>
    <w:rPr>
      <w:b/>
      <w:bCs/>
      <w:sz w:val="20"/>
      <w:szCs w:val="20"/>
    </w:rPr>
  </w:style>
  <w:style w:type="character" w:styleId="TextonotapieCar" w:customStyle="1">
    <w:name w:val="Texto nota pie Car"/>
    <w:basedOn w:val="DefaultParagraphFont"/>
    <w:uiPriority w:val="99"/>
    <w:semiHidden/>
    <w:qFormat/>
    <w:rsid w:val="00b358be"/>
    <w:rPr>
      <w:sz w:val="20"/>
      <w:szCs w:val="20"/>
    </w:rPr>
  </w:style>
  <w:style w:type="character" w:styleId="FootnoteCharacters">
    <w:name w:val="Footnote Characters"/>
    <w:basedOn w:val="DefaultParagraphFont"/>
    <w:uiPriority w:val="99"/>
    <w:semiHidden/>
    <w:unhideWhenUsed/>
    <w:qFormat/>
    <w:rsid w:val="00b358be"/>
    <w:rPr>
      <w:vertAlign w:val="superscript"/>
    </w:rPr>
  </w:style>
  <w:style w:type="character" w:styleId="FootnoteAnchor">
    <w:name w:val="Footnote Anchor"/>
    <w:qFormat/>
    <w:rPr>
      <w:vertAlign w:val="superscript"/>
    </w:rPr>
  </w:style>
  <w:style w:type="character" w:styleId="VisitedInternetLink">
    <w:name w:val="FollowedHyperlink"/>
    <w:basedOn w:val="DefaultParagraphFont"/>
    <w:uiPriority w:val="99"/>
    <w:semiHidden/>
    <w:unhideWhenUsed/>
    <w:rsid w:val="00996024"/>
    <w:rPr>
      <w:color w:val="954F72" w:themeColor="followedHyperlink"/>
      <w:u w:val="single"/>
    </w:rPr>
  </w:style>
  <w:style w:type="character" w:styleId="EndnoteAnchor">
    <w:name w:val="Endnote Anchor"/>
    <w:qFormat/>
    <w:rPr>
      <w:vertAlign w:val="superscript"/>
    </w:rPr>
  </w:style>
  <w:style w:type="character" w:styleId="EndnoteCharacters">
    <w:name w:val="Endnote Characters"/>
    <w:qFormat/>
    <w:rPr/>
  </w:style>
  <w:style w:type="character" w:styleId="Ninguno">
    <w:name w:val="Ninguno"/>
    <w:qFormat/>
    <w:rPr>
      <w:lang w:val="en-US"/>
    </w:rPr>
  </w:style>
  <w:style w:type="character" w:styleId="Textooriginal">
    <w:name w:val="Texto original"/>
    <w:qFormat/>
    <w:rPr>
      <w:rFonts w:ascii="Liberation Mono" w:hAnsi="Liberation Mono" w:eastAsia="Liberation Mono" w:cs="Liberation Mono"/>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Lohit Devanagari"/>
    </w:rPr>
  </w:style>
  <w:style w:type="paragraph" w:styleId="Ttulo">
    <w:name w:val="Título"/>
    <w:basedOn w:val="Normal"/>
    <w:next w:val="TextBody"/>
    <w:qFormat/>
    <w:pPr>
      <w:keepNext w:val="true"/>
      <w:spacing w:before="240" w:after="120"/>
    </w:pPr>
    <w:rPr>
      <w:rFonts w:ascii="Liberation Sans" w:hAnsi="Liberation Sans" w:eastAsia="Noto Sans CJK SC" w:cs="Noto Sans Devanagari"/>
      <w:sz w:val="28"/>
      <w:szCs w:val="28"/>
    </w:rPr>
  </w:style>
  <w:style w:type="paragraph" w:styleId="Ndice">
    <w:name w:val="Índice"/>
    <w:basedOn w:val="Normal"/>
    <w:qFormat/>
    <w:pPr>
      <w:suppressLineNumbers/>
    </w:pPr>
    <w:rPr>
      <w:rFonts w:cs="Noto Sans Devanagari"/>
    </w:rPr>
  </w:style>
  <w:style w:type="paragraph" w:styleId="Cabeceraypie">
    <w:name w:val="Cabecera y pie"/>
    <w:basedOn w:val="Normal"/>
    <w:qFormat/>
    <w:pPr/>
    <w:rPr/>
  </w:style>
  <w:style w:type="paragraph" w:styleId="HeaderandFooter">
    <w:name w:val="Header and Footer"/>
    <w:basedOn w:val="Normal"/>
    <w:qFormat/>
    <w:pPr/>
    <w:rPr/>
  </w:style>
  <w:style w:type="paragraph" w:styleId="Header">
    <w:name w:val="Header"/>
    <w:basedOn w:val="Normal"/>
    <w:link w:val="EncabezadoCar"/>
    <w:uiPriority w:val="99"/>
    <w:unhideWhenUsed/>
    <w:rsid w:val="00a938e0"/>
    <w:pPr>
      <w:tabs>
        <w:tab w:val="clear" w:pos="708"/>
        <w:tab w:val="center" w:pos="4252" w:leader="none"/>
        <w:tab w:val="right" w:pos="8504" w:leader="none"/>
      </w:tabs>
      <w:spacing w:lineRule="auto" w:line="240" w:before="0" w:after="0"/>
    </w:pPr>
    <w:rPr/>
  </w:style>
  <w:style w:type="paragraph" w:styleId="Footer">
    <w:name w:val="Footer"/>
    <w:basedOn w:val="Normal"/>
    <w:link w:val="PiedepginaCar"/>
    <w:uiPriority w:val="99"/>
    <w:unhideWhenUsed/>
    <w:rsid w:val="00a938e0"/>
    <w:pPr>
      <w:tabs>
        <w:tab w:val="clear" w:pos="708"/>
        <w:tab w:val="center" w:pos="4252" w:leader="none"/>
        <w:tab w:val="right" w:pos="8504" w:leader="none"/>
      </w:tabs>
      <w:spacing w:lineRule="auto" w:line="240" w:before="0" w:after="0"/>
    </w:pPr>
    <w:rPr/>
  </w:style>
  <w:style w:type="paragraph" w:styleId="ListParagraph">
    <w:name w:val="List Paragraph"/>
    <w:basedOn w:val="Normal"/>
    <w:uiPriority w:val="34"/>
    <w:qFormat/>
    <w:rsid w:val="00bf3531"/>
    <w:pPr>
      <w:spacing w:before="0" w:after="160"/>
      <w:ind w:left="720" w:hanging="0"/>
      <w:contextualSpacing/>
    </w:pPr>
    <w:rPr/>
  </w:style>
  <w:style w:type="paragraph" w:styleId="BalloonText">
    <w:name w:val="Balloon Text"/>
    <w:basedOn w:val="Normal"/>
    <w:link w:val="TextodegloboCar"/>
    <w:uiPriority w:val="99"/>
    <w:semiHidden/>
    <w:unhideWhenUsed/>
    <w:qFormat/>
    <w:rsid w:val="00bf3531"/>
    <w:pPr>
      <w:spacing w:lineRule="auto" w:line="240" w:before="0" w:after="0"/>
    </w:pPr>
    <w:rPr>
      <w:rFonts w:ascii="Segoe UI" w:hAnsi="Segoe UI" w:cs="Segoe UI"/>
      <w:sz w:val="18"/>
      <w:szCs w:val="18"/>
    </w:rPr>
  </w:style>
  <w:style w:type="paragraph" w:styleId="Annotationtext">
    <w:name w:val="annotation text"/>
    <w:basedOn w:val="Normal"/>
    <w:link w:val="TextocomentarioCar"/>
    <w:uiPriority w:val="99"/>
    <w:semiHidden/>
    <w:unhideWhenUsed/>
    <w:qFormat/>
    <w:rsid w:val="004c72f0"/>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4c72f0"/>
    <w:pPr/>
    <w:rPr>
      <w:b/>
      <w:bCs/>
    </w:rPr>
  </w:style>
  <w:style w:type="paragraph" w:styleId="Footnote">
    <w:name w:val="Footnote Text"/>
    <w:basedOn w:val="Normal"/>
    <w:link w:val="TextonotapieCar"/>
    <w:uiPriority w:val="99"/>
    <w:semiHidden/>
    <w:unhideWhenUsed/>
    <w:rsid w:val="00b358be"/>
    <w:pPr>
      <w:spacing w:lineRule="auto" w:line="240" w:before="0" w:after="0"/>
    </w:pPr>
    <w:rPr>
      <w:sz w:val="20"/>
      <w:szCs w:val="20"/>
    </w:rPr>
  </w:style>
  <w:style w:type="paragraph" w:styleId="Contenidodelatabla">
    <w:name w:val="Contenido de la tabla"/>
    <w:basedOn w:val="Normal"/>
    <w:qFormat/>
    <w:pPr>
      <w:suppressLineNumbers/>
    </w:pPr>
    <w:rPr/>
  </w:style>
  <w:style w:type="paragraph" w:styleId="Ttulodelatabla">
    <w:name w:val="Título de la tabla"/>
    <w:basedOn w:val="Contenidodelatabla"/>
    <w:qFormat/>
    <w:pPr>
      <w:suppressLineNumbers/>
      <w:jc w:val="center"/>
    </w:pPr>
    <w:rPr>
      <w:b/>
      <w:bCs/>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32206e"/>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oogle.es/" TargetMode="External"/><Relationship Id="rId3" Type="http://schemas.openxmlformats.org/officeDocument/2006/relationships/image" Target="media/image1.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hyperlink" Target="https://www.unia.es/estudios-y-acceso/oferta-academica/masteres-oficiales/master-oficial-en-agroecologia-un-enfoque-para-la-sustentabilidad-rural-2" TargetMode="External"/><Relationship Id="rId12" Type="http://schemas.openxmlformats.org/officeDocument/2006/relationships/hyperlink" Target="https://www.uco.es/estudios/idep/agroecologia / https://www.upo.es/postgrado/Master-Oficial-Agroecologia-Un-Enfoque-de-Transformacion-Sustentable-de-los-Sistemas-Agroalimentario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4109</TotalTime>
  <Application>LibreOffice/6.4.7.2$Linux_X86_64 LibreOffice_project/40$Build-2</Application>
  <Pages>5</Pages>
  <Words>431</Words>
  <Characters>3887</Characters>
  <CharactersWithSpaces>4203</CharactersWithSpaces>
  <Paragraphs>118</Paragraphs>
  <Company>Universidad Internacional de Andalucía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2020-06-24T06:47:00Z</dcterms:created>
  <dc:creator>A.DeArriba</dc:creator>
  <dc:description/>
  <dc:language>es-ES</dc:language>
  <cp:lastModifiedBy/>
  <cp:lastPrinted>2019-03-29T12:33:00Z</cp:lastPrinted>
  <dcterms:modified xsi:type="dcterms:W3CDTF">2025-01-17T10:45:17Z</dcterms:modified>
  <cp:revision>242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Universidad Internacional de Andalucía</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