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Calibri" w:hAnsi="Calibri" w:cs="Calibri"/>
          <w:sz w:val="48"/>
          <w:szCs w:val="48"/>
        </w:rPr>
      </w:pPr>
      <w:r>
        <w:rPr>
          <w:rFonts w:cs="Calibri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r>
        <w:rPr>
          <w:rFonts w:cs="Calibri" w:ascii="Calibri" w:hAnsi="Calibri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r>
        <w:rPr>
          <w:rFonts w:cs="Calibri" w:ascii="Calibri" w:hAnsi="Calibri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hyperlink r:id="rId2">
        <w:r>
          <w:rPr>
            <w:rFonts w:eastAsia="Times New Roman" w:cs="Calibri" w:ascii="Calibri" w:hAnsi="Calibri" w:asciiTheme="minorHAnsi" w:hAnsiTheme="minorHAnsi"/>
            <w:b/>
            <w:color w:val="auto"/>
            <w:kern w:val="2"/>
            <w:sz w:val="48"/>
            <w:szCs w:val="48"/>
            <w:lang w:val="es-ES" w:eastAsia="zh-CN" w:bidi="ar-SA"/>
          </w:rPr>
          <w:t>Agroecología: un Enfoque de Transformación Sustentable de los Sistemas Agroalimentarios – Módulo I - Diversidad biocultural</w:t>
        </w:r>
      </w:hyperlink>
    </w:p>
    <w:p>
      <w:pPr>
        <w:pStyle w:val="Normal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r>
        <w:rPr>
          <w:rFonts w:cs="Calibri"/>
          <w:sz w:val="48"/>
          <w:szCs w:val="48"/>
        </w:rPr>
      </w:r>
    </w:p>
    <w:p>
      <w:pPr>
        <w:pStyle w:val="Normal"/>
        <w:rPr>
          <w:rFonts w:ascii="Calibri" w:hAnsi="Calibri" w:cs="Calibri"/>
          <w:sz w:val="32"/>
          <w:szCs w:val="32"/>
        </w:rPr>
      </w:pPr>
      <w:r>
        <w:rPr>
          <w:rFonts w:cs="Calibri"/>
          <w:sz w:val="32"/>
          <w:szCs w:val="32"/>
        </w:rPr>
      </w:r>
    </w:p>
    <w:p>
      <w:pPr>
        <w:pStyle w:val="Normal"/>
        <w:suppressLineNumbers/>
        <w:suppressAutoHyphens w:val="true"/>
        <w:spacing w:lineRule="auto" w:line="240" w:before="0" w:after="0"/>
        <w:jc w:val="center"/>
        <w:textAlignment w:val="baseline"/>
        <w:rPr/>
      </w:pPr>
      <w:r>
        <w:rPr>
          <w:rFonts w:eastAsia="Calibri" w:cs="Calibri" w:cstheme="minorHAnsi"/>
          <w:b w:val="false"/>
          <w:bCs w:val="false"/>
          <w:color w:val="00000A"/>
          <w:kern w:val="2"/>
          <w:sz w:val="22"/>
          <w:szCs w:val="22"/>
          <w:u w:val="none"/>
          <w:lang w:val="es-ES" w:eastAsia="en-US" w:bidi="ar-SA"/>
        </w:rPr>
        <w:t>Diversidad biocultural</w:t>
      </w:r>
    </w:p>
    <w:p>
      <w:pPr>
        <w:pStyle w:val="Normal"/>
        <w:suppressLineNumbers/>
        <w:suppressAutoHyphens w:val="true"/>
        <w:spacing w:lineRule="auto" w:line="240" w:before="0" w:after="0"/>
        <w:jc w:val="center"/>
        <w:textAlignment w:val="baseline"/>
        <w:rPr>
          <w:rFonts w:ascii="Calibri" w:hAnsi="Calibri" w:cs="Calibri"/>
          <w:sz w:val="32"/>
          <w:szCs w:val="32"/>
        </w:rPr>
      </w:pPr>
      <w:r>
        <w:rPr>
          <w:rFonts w:eastAsia="Calibri" w:cs="Calibri" w:cstheme="minorHAnsi"/>
          <w:b w:val="false"/>
          <w:bCs w:val="false"/>
          <w:color w:val="00000A"/>
          <w:kern w:val="2"/>
          <w:sz w:val="22"/>
          <w:szCs w:val="22"/>
          <w:u w:val="none"/>
          <w:lang w:val="es-ES" w:eastAsia="en-US" w:bidi="ar-SA"/>
        </w:rPr>
        <w:t/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color w:val="FF6600"/>
          <w:sz w:val="48"/>
          <w:szCs w:val="48"/>
        </w:rPr>
      </w:pPr>
      <w:r>
        <w:rPr>
          <w:rFonts w:cs="Calibri" w:ascii="Calibri" w:hAnsi="Calibri"/>
          <w:color w:val="FF6600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color w:val="70AD47"/>
          <w:sz w:val="48"/>
          <w:szCs w:val="48"/>
        </w:rPr>
      </w:pPr>
      <w:r>
        <w:rPr>
          <w:rFonts w:cs="Calibri" w:ascii="Calibri" w:hAnsi="Calibri"/>
          <w:color w:val="70AD47"/>
          <w:sz w:val="48"/>
          <w:szCs w:val="48"/>
        </w:rPr>
        <w:t>GUÍA DOCENTE </w:t>
      </w:r>
    </w:p>
    <w:p>
      <w:pPr>
        <w:pStyle w:val="Normal"/>
        <w:tabs>
          <w:tab w:val="clear" w:pos="708"/>
          <w:tab w:val="left" w:pos="0" w:leader="none"/>
        </w:tabs>
        <w:rPr>
          <w:rFonts w:ascii="Calibri" w:hAnsi="Calibri" w:cs="Calibri"/>
          <w:color w:val="70AD47"/>
          <w:sz w:val="48"/>
          <w:szCs w:val="48"/>
        </w:rPr>
      </w:pPr>
      <w:r>
        <w:rPr>
          <w:rFonts w:cs="Calibri"/>
          <w:color w:val="70AD47"/>
          <w:sz w:val="48"/>
          <w:szCs w:val="48"/>
        </w:rPr>
      </w:r>
    </w:p>
    <w:p>
      <w:pPr>
        <w:pStyle w:val="Normal"/>
        <w:tabs>
          <w:tab w:val="clear" w:pos="708"/>
          <w:tab w:val="left" w:pos="0" w:leader="none"/>
        </w:tabs>
        <w:rPr>
          <w:rFonts w:ascii="Calibri" w:hAnsi="Calibri" w:cs="Calibri"/>
          <w:color w:val="70AD47"/>
          <w:sz w:val="48"/>
          <w:szCs w:val="48"/>
        </w:rPr>
      </w:pPr>
      <w:r>
        <w:rPr>
          <w:rFonts w:cs="Calibri"/>
          <w:color w:val="70AD47"/>
          <w:sz w:val="48"/>
          <w:szCs w:val="48"/>
        </w:rPr>
        <w:drawing>
          <wp:anchor behindDoc="0" distT="0" distB="0" distL="0" distR="0" simplePos="0" locked="0" layoutInCell="1" allowOverlap="1" relativeHeight="5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2340610" cy="288036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610" cy="2880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eastAsia="Arial" w:cs="Calibri" w:cstheme="minorHAnsi"/>
          <w:b/>
          <w:sz w:val="24"/>
          <w:szCs w:val="24"/>
          <w:u w:val="none"/>
        </w:rPr>
        <w:t>INSTRUCCIONES PARA LA ELABORACIÓN Y TRAMITACIÓN DE LAS GUÍAS DOCENTES DE LAS ASIGNATURAS</w:t>
      </w:r>
    </w:p>
    <w:p>
      <w:pPr>
        <w:pStyle w:val="ListParagraph"/>
        <w:spacing w:lineRule="auto" w:line="312" w:before="120" w:after="120"/>
        <w:ind w:left="360" w:hanging="0"/>
        <w:contextualSpacing/>
        <w:jc w:val="left"/>
        <w:rPr>
          <w:rFonts w:eastAsia="Arial" w:cs="Calibri" w:cstheme="minorHAnsi"/>
          <w:sz w:val="22"/>
          <w:szCs w:val="22"/>
          <w:u w:val="none"/>
        </w:rPr>
      </w:pPr>
      <w:r>
        <w:rPr>
          <w:rFonts w:eastAsia="Arial" w:cs="Calibri" w:cstheme="minorHAnsi"/>
          <w:sz w:val="22"/>
          <w:szCs w:val="22"/>
          <w:u w:val="none"/>
        </w:rPr>
      </w:r>
    </w:p>
    <w:p>
      <w:pPr>
        <w:sectPr>
          <w:headerReference w:type="default" r:id="rId4"/>
          <w:footerReference w:type="default" r:id="rId5"/>
          <w:type w:val="nextPage"/>
          <w:pgSz w:w="11906" w:h="16838"/>
          <w:pgMar w:left="1701" w:right="1701" w:header="1417" w:top="1717" w:footer="708" w:bottom="1417" w:gutter="0"/>
          <w:pgNumType w:fmt="decimal"/>
          <w:formProt w:val="false"/>
          <w:textDirection w:val="lrTb"/>
          <w:docGrid w:type="default" w:linePitch="360" w:charSpace="4096"/>
        </w:sectPr>
        <w:pStyle w:val="ListParagraph"/>
        <w:spacing w:lineRule="auto" w:line="312" w:before="120" w:after="120"/>
        <w:ind w:left="360" w:hanging="0"/>
        <w:contextualSpacing/>
        <w:jc w:val="left"/>
        <w:rPr>
          <w:rFonts w:ascii="Calibri" w:hAnsi="Calibri" w:cs="Calibri"/>
          <w:color w:val="70AD47"/>
          <w:sz w:val="48"/>
          <w:szCs w:val="48"/>
        </w:rPr>
      </w:pPr>
      <w:r>
        <w:rPr>
          <w:rFonts w:eastAsia="Arial" w:cs="Calibri" w:cstheme="minorHAnsi"/>
          <w:sz w:val="22"/>
          <w:szCs w:val="22"/>
          <w:u w:val="none"/>
        </w:rPr>
        <w:t/>
      </w:r>
    </w:p>
    <w:p>
      <w:pPr>
        <w:pStyle w:val="Normal"/>
        <w:rPr>
          <w:rFonts w:eastAsia="Arial" w:cs="Calibri" w:cstheme="minorHAnsi"/>
          <w:sz w:val="22"/>
          <w:szCs w:val="22"/>
          <w:u w:val="none"/>
        </w:rPr>
      </w:pPr>
      <w:r>
        <w:rPr>
          <w:rFonts w:eastAsia="Arial" w:cs="Calibri" w:cstheme="minorHAnsi"/>
          <w:sz w:val="22"/>
          <w:szCs w:val="22"/>
          <w:u w:val="none"/>
        </w:rPr>
      </w:r>
    </w:p>
    <w:tbl>
      <w:tblPr>
        <w:tblW w:w="9781" w:type="dxa"/>
        <w:jc w:val="left"/>
        <w:tblInd w:w="-522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2445"/>
        <w:gridCol w:w="1333"/>
        <w:gridCol w:w="1286"/>
        <w:gridCol w:w="1285"/>
        <w:gridCol w:w="1288"/>
        <w:gridCol w:w="1072"/>
        <w:gridCol w:w="1071"/>
      </w:tblGrid>
      <w:tr>
        <w:trPr/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Tipo de Acción Formativa</w:t>
            </w:r>
          </w:p>
        </w:tc>
        <w:tc>
          <w:tcPr>
            <w:tcW w:w="7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 xml:space="preserve">Máster Universitario</w:t>
            </w:r>
          </w:p>
        </w:tc>
      </w:tr>
      <w:tr>
        <w:trPr/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 Nombre de la Acción Formativa</w:t>
            </w:r>
          </w:p>
        </w:tc>
        <w:tc>
          <w:tcPr>
            <w:tcW w:w="7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 xml:space="preserve">Agroecología: un Enfoque de Transformación Sustentable de los Sistemas Agroalimentarios</w:t>
            </w:r>
          </w:p>
        </w:tc>
      </w:tr>
      <w:tr>
        <w:trPr/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Denominación de la asignatura</w:t>
            </w:r>
          </w:p>
        </w:tc>
        <w:tc>
          <w:tcPr>
            <w:tcW w:w="7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left"/>
              <w:textAlignment w:val="baseline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kern w:val="2"/>
                <w:sz w:val="22"/>
                <w:szCs w:val="22"/>
                <w:u w:val="none"/>
                <w:lang w:val="es-ES" w:eastAsia="en-US" w:bidi="ar-SA"/>
              </w:rPr>
              <w:t>Diversidad biocultural</w:t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left"/>
              <w:textAlignment w:val="baseline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kern w:val="2"/>
                <w:sz w:val="22"/>
                <w:szCs w:val="22"/>
                <w:u w:val="none"/>
                <w:lang w:val="es-ES" w:eastAsia="en-US" w:bidi="ar-SA"/>
              </w:rPr>
              <w:t/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Módulo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Módulo I - Diversidad biocultural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Curso académico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 xml:space="preserve">2024-2025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Tipología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Obligatoria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ECTS</w:t>
            </w:r>
          </w:p>
        </w:tc>
        <w:tc>
          <w:tcPr>
            <w:tcW w:w="1333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Teoría: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3.00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Práctica:</w:t>
            </w:r>
          </w:p>
        </w:tc>
        <w:tc>
          <w:tcPr>
            <w:tcW w:w="1288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b w:val="false"/>
                <w:bCs w:val="false"/>
                <w:color w:val="000000"/>
                <w:kern w:val="2"/>
                <w:sz w:val="22"/>
                <w:szCs w:val="22"/>
                <w:lang w:eastAsia="zh-CN" w:bidi="hi-IN"/>
              </w:rPr>
              <w:t>0.00</w:t>
            </w:r>
          </w:p>
        </w:tc>
        <w:tc>
          <w:tcPr>
            <w:tcW w:w="10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Total: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3.00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Modalidad Docente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PRESENCIAL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Periodo de impartición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3 al 7 de marzo de 2025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Web universidad coordinadora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cs="Calibri"/>
                <w:color w:val="70AD47"/>
                <w:sz w:val="48"/>
                <w:szCs w:val="48"/>
              </w:rPr>
            </w:pPr>
            <w:hyperlink r:id="rId11">
              <w:r>
                <w:rPr>
                  <w:rStyle w:val="Hyperlink"/>
                </w:rPr>
                <w:t>https://www.unia.es/estudios-y-acceso/oferta-academica/masteres-oficiales/master-oficial-en-agroecologia-un-enfoque-para-la-sustentabilidad-rural-2</w:t>
              </w:r>
            </w:hyperlink>
          </w:p>
        </w:tc>
      </w:tr>
      <w:tr>
        <w:trPr>
          <w:trHeight w:val="704" w:hRule="atLeast"/>
        </w:trPr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pacing w:before="0" w:after="160"/>
              <w:contextualSpacing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/>
              <w:t>Web universidad colaboradora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/>
            </w:pPr>
            <w:hyperlink r:id="rId12">
              <w:r>
                <w:rPr>
                  <w:rStyle w:val="Hyperlink"/>
                </w:rPr>
                <w:t>https://www.uco.es/estudios/idep/agroecologia / https://www.upo.es/postgrado/Master-Oficial-Agroecologia-Un-Enfoque-de-Transformacion-Sustentable-de-los-Sistemas-Agroalimentarios/</w:t>
              </w:r>
            </w:hyperlink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 Idioma/s de impartición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contextualSpacing/>
              <w:jc w:val="left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sz w:val="22"/>
                <w:szCs w:val="22"/>
                <w:u w:val="none"/>
                <w:lang w:val="es-ES" w:eastAsia="en-US" w:bidi="ar-SA"/>
              </w:rPr>
              <w:t xml:space="preserve">Español</w:t>
            </w:r>
          </w:p>
          <w:p>
            <w:pPr>
              <w:pStyle w:val="Normal"/>
              <w:widowControl w:val="false"/>
              <w:spacing w:lineRule="auto" w:line="240" w:before="0" w:after="0"/>
              <w:contextualSpacing/>
              <w:jc w:val="left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sz w:val="22"/>
                <w:szCs w:val="22"/>
                <w:u w:val="none"/>
                <w:lang w:val="es-ES" w:eastAsia="en-US" w:bidi="ar-SA"/>
              </w:rPr>
              <w:t/>
            </w:r>
          </w:p>
        </w:tc>
      </w:tr>
    </w:tbl>
    <w:p>
      <w:pPr>
        <w:pStyle w:val="Normal"/>
        <w:rPr>
          <w:sz w:val="40"/>
          <w:szCs w:val="40"/>
        </w:rPr>
      </w:pPr>
      <w:r>
        <w:rPr>
          <w:sz w:val="40"/>
          <w:szCs w:val="40"/>
        </w:rPr>
      </w:r>
    </w:p>
    <w:tbl>
      <w:tblPr>
        <w:tblW w:w="9808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714"/>
        <w:gridCol w:w="2111"/>
        <w:gridCol w:w="2113"/>
        <w:gridCol w:w="1869"/>
      </w:tblGrid>
      <w:tr>
        <w:trPr/>
        <w:tc>
          <w:tcPr>
            <w:tcW w:w="9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Responsable/s de la asignatura</w:t>
            </w:r>
          </w:p>
        </w:tc>
      </w:tr>
      <w:tr>
        <w:trPr/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Nombre y apellidos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Email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Universidad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Créditos</w:t>
            </w:r>
          </w:p>
        </w:tc>
      </w:tr>
      <w:tr>
        <w:trPr/>
        <w:tc>
          <w:tcPr>
            <w:tcW w:w="37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Narciso Barrera Bassols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UNIVERSIDAD AUTONOMA DE QUERETARO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1.75</w:t>
            </w:r>
          </w:p>
        </w:tc>
      </w:tr>
    </w:tbl>
    <w:p>
      <w:pPr>
        <w:pStyle w:val="Normal"/>
        <w:rPr>
          <w:rFonts w:eastAsia="Arial" w:cs="Calibri" w:cstheme="minorHAnsi"/>
          <w:sz w:val="22"/>
          <w:szCs w:val="22"/>
          <w:u w:val="none"/>
        </w:rPr>
      </w:pPr>
      <w:r>
        <w:rPr>
          <w:rFonts w:eastAsia="Arial" w:cs="Calibri" w:cstheme="minorHAnsi"/>
          <w:sz w:val="22"/>
          <w:szCs w:val="22"/>
          <w:u w:val="none"/>
        </w:rPr>
      </w:r>
    </w:p>
    <w:tbl>
      <w:tblPr>
        <w:tblW w:w="9807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709"/>
        <w:gridCol w:w="2117"/>
        <w:gridCol w:w="2111"/>
        <w:gridCol w:w="1869"/>
      </w:tblGrid>
      <w:tr>
        <w:trPr/>
        <w:tc>
          <w:tcPr>
            <w:tcW w:w="98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Profesorado</w:t>
            </w:r>
          </w:p>
        </w:tc>
      </w:tr>
      <w:tr>
        <w:trPr/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Nombre y apellidos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Email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Universidad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Créditos</w:t>
            </w:r>
          </w:p>
        </w:tc>
      </w:tr>
      <w:tr>
        <w:trPr/>
        <w:tc>
          <w:tcPr>
            <w:tcW w:w="3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Narciso Barrera Bassols</w:t>
            </w:r>
          </w:p>
        </w:tc>
        <w:tc>
          <w:tcPr>
            <w:tcW w:w="2117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UNIVERSIDAD AUTONOMA DE QUERETARO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1.75</w:t>
            </w:r>
          </w:p>
        </w:tc>
      </w:tr>
      <w:tr>
        <w:trPr/>
        <w:tc>
          <w:tcPr>
            <w:tcW w:w="3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José María Egea Fernández</w:t>
            </w:r>
          </w:p>
        </w:tc>
        <w:tc>
          <w:tcPr>
            <w:tcW w:w="2117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UNIVERSIDAD DE MURCIA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0.25</w:t>
            </w:r>
          </w:p>
        </w:tc>
      </w:tr>
      <w:tr>
        <w:trPr/>
        <w:tc>
          <w:tcPr>
            <w:tcW w:w="3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Jessica Milgroom </w:t>
            </w:r>
          </w:p>
        </w:tc>
        <w:tc>
          <w:tcPr>
            <w:tcW w:w="2117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UNIVERSIDAD DE CORDOBA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1.00</w:t>
            </w:r>
          </w:p>
        </w:tc>
      </w:tr>
      <w:tr>
        <w:trPr/>
        <w:tc>
          <w:tcPr>
            <w:tcW w:w="980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TUTORIAS: Horario y localización</w:t>
            </w:r>
          </w:p>
        </w:tc>
      </w:tr>
      <w:tr>
        <w:trPr/>
        <w:tc>
          <w:tcPr>
            <w:tcW w:w="980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pacing w:before="0" w:after="16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Tutorías/seminarios: miércoles y jueves tarde: 17-19:30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Despacho profesorado</w:t>
            </w:r>
            <w:r>
              <w:t xml:space="preserve"/>
            </w:r>
          </w:p>
        </w:tc>
      </w:tr>
    </w:tbl>
    <w:p>
      <w:pPr>
        <w:pStyle w:val="Normal"/>
        <w:widowControl w:val="false"/>
        <w:suppressAutoHyphens w:val="true"/>
        <w:bidi w:val="0"/>
        <w:spacing w:lineRule="auto" w:line="259" w:before="0" w:after="160"/>
        <w:ind w:left="0" w:right="0" w:hanging="567"/>
        <w:contextualSpacing/>
        <w:jc w:val="left"/>
        <w:rPr>
          <w:rFonts w:eastAsia="NSimSun" w:cs="Calibri" w:cstheme="minorHAnsi"/>
          <w:b/>
          <w:b/>
          <w:color w:val="000000"/>
          <w:kern w:val="2"/>
          <w:lang w:eastAsia="zh-CN" w:bidi="hi-IN"/>
        </w:rPr>
      </w:pPr>
      <w:r>
        <w:rPr>
          <w:rFonts w:eastAsia="NSimSun" w:cs="Calibri" w:cstheme="minorHAnsi"/>
          <w:b/>
          <w:color w:val="000000"/>
          <w:kern w:val="2"/>
          <w:lang w:eastAsia="zh-CN" w:bidi="hi-IN"/>
        </w:rPr>
      </w:r>
    </w:p>
    <w:p>
      <w:pPr>
        <w:pStyle w:val="Normal"/>
        <w:widowControl w:val="false"/>
        <w:suppressAutoHyphens w:val="true"/>
        <w:bidi w:val="0"/>
        <w:spacing w:lineRule="auto" w:line="259" w:before="0" w:after="160"/>
        <w:ind w:left="0" w:right="0" w:hanging="567"/>
        <w:contextualSpacing/>
        <w:jc w:val="left"/>
        <w:rPr>
          <w:rFonts w:eastAsia="NSimSun" w:cs="Calibri" w:cstheme="minorHAnsi"/>
          <w:b/>
          <w:b/>
          <w:color w:val="000000"/>
          <w:kern w:val="2"/>
          <w:lang w:eastAsia="zh-CN" w:bidi="hi-IN"/>
        </w:rPr>
      </w:pPr>
      <w:r>
        <w:rPr>
          <w:rFonts w:eastAsia="NSimSun" w:cs="Calibri" w:cstheme="minorHAnsi"/>
          <w:b w:val="false"/>
          <w:bCs w:val="false"/>
          <w:color w:val="000000"/>
          <w:kern w:val="2"/>
          <w:sz w:val="22"/>
          <w:szCs w:val="22"/>
          <w:lang w:eastAsia="zh-CN" w:bidi="hi-IN"/>
        </w:rPr>
        <w:t/>
      </w:r>
    </w:p>
    <w:tbl>
      <w:tblPr>
        <w:tblW w:w="9807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682"/>
        <w:gridCol w:w="6124"/>
      </w:tblGrid>
      <w:tr>
        <w:trPr/>
        <w:tc>
          <w:tcPr>
            <w:tcW w:w="9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RESULTADOS DEL PROCESO DE FORMACIÓN Y APRENDIZAJE</w:t>
            </w:r>
          </w:p>
        </w:tc>
      </w:tr>
      <w:tr>
        <w:trPr/>
        <w:tc>
          <w:tcPr>
            <w:tcW w:w="3682" w:type="dxa"/>
            <w:tcBorders>
              <w:left w:val="single" w:sz="4" w:space="0" w:color="000000"/>
              <w:bottom w:val="single" w:sz="4" w:space="0" w:color="000000"/>
            </w:tcBorders>
            <w:shd w:fill="92D050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es-ES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es-ES" w:eastAsia="en-US" w:bidi="ar-SA"/>
              </w:rPr>
              <w:t>Conocimientos o contenidos</w:t>
            </w:r>
          </w:p>
        </w:tc>
        <w:tc>
          <w:tcPr>
            <w:tcW w:w="6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C01 Conoce los principios y las bases científicas de la Agroecología como instrumento de transformación sustentable de los sistemas agroalimentarios.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C02 Conoce las bases sociológicas y antropológicas que permiten analizar la estructura y  funcionamiento de los sistemas alimentarios, así como la dimensión social y participativa de la Agroecología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C03 Conoce las bases ecológicas del funcionamiento de los agroecosistemas y su aplicación como base para el diseño de sistema agrarios sustentables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C04 Conoce las bases agronómicas del funcionamiento de los agroecosistemas y su aplicación como base para el diseño de sistema agrarios sustentables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C05 Conoce los principios básicos del análisis económico aplicados a la actividad agraria y alimentaria desde el punto de vista de la economía ecológica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C06 Conoce los fundamentos de la relación entre biodiversidad y diversidad cultural, aplicada al manejo de agroecosistemas y sistemas alimentarios.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C7 Conoce los principios básicos del análisis político-institucional aplicado a la actividad agraria y alimentaria desde el punto de vista de la Ecología Política, con especial hincapié en el papel del Estado y de los movimientos sociales en su regulación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C8 Conoce las propuestas teóricas y los instrumentos prácticos propuestos para el diseño de la transición agroecológica.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C9 Conoce las causas sociológicas, económica e institucionales de la crisis alimentaria global y los principios que deben guiar la construcción de sistemas agroalimentarios sustentables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C10 Conoce las diferentes perspectivas feministas y su aplicación al análisis de los sistemas agroalimentarios 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/>
        <w:tc>
          <w:tcPr>
            <w:tcW w:w="3682" w:type="dxa"/>
            <w:tcBorders>
              <w:left w:val="single" w:sz="4" w:space="0" w:color="000000"/>
              <w:bottom w:val="single" w:sz="4" w:space="0" w:color="000000"/>
            </w:tcBorders>
            <w:shd w:fill="92D050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es-ES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es-ES" w:eastAsia="en-US" w:bidi="ar-SA"/>
              </w:rPr>
              <w:t>Competencias</w:t>
            </w:r>
          </w:p>
        </w:tc>
        <w:tc>
          <w:tcPr>
            <w:tcW w:w="6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COM01 Analizar los contenidos de las lecturas realizadas, sintetizar dichos contenidos para la identificación de conceptos clave.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COM02 Ser capaz de desarrollar adecuadamente la comunicación escrita y oral, la exposición ordenada de ideas, la justificación lógica y argumentativa, así como de relacionar conceptos generales con otros de índole más práctica.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COM03 Capacidad de compromiso ético con la transformación sustentable del régimen alimentario, tal y como propugna la agroecología.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COM04 Integrar aspectos sociales, económicos, culturales, agronómicos y ecológicos en el diseño de la transición agroecológica.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COM05 Identificar la reproducción de las desigualdades de género en la realidad social agroecológica en el ámbito de los sistemas agroalimentarios.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COM06 Realizar una reflexión autocrítica de las relaciones de poder en las investigaciones, incorporando en sus reflexiones teóricas y en sus prácticas críticas de las relaciones autoritarias y del patriarcado.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COM07 Plantear y desarrollar proyectos comunitarios de transformación o mantenimiento agroecológicos individualmente, en equipo, en investigación-acción participativa 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/>
        <w:tc>
          <w:tcPr>
            <w:tcW w:w="3682" w:type="dxa"/>
            <w:tcBorders>
              <w:left w:val="single" w:sz="4" w:space="0" w:color="000000"/>
              <w:bottom w:val="single" w:sz="4" w:space="0" w:color="000000"/>
            </w:tcBorders>
            <w:shd w:fill="92D050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es-ES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es-ES" w:eastAsia="en-US" w:bidi="ar-SA"/>
              </w:rPr>
              <w:t>Habilidades o destrezas</w:t>
            </w:r>
          </w:p>
        </w:tc>
        <w:tc>
          <w:tcPr>
            <w:tcW w:w="6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HD01 Maneja las distintas perspectivas teóricas, metodológicas y las técnicas de investigación social aplicada a la Agroecología.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HD02 Conoce las principales metodologías para el análisis económico y ambiental de agroecosistemas, con especial atención a los instrumentos de evaluación de la sustentabilidad.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HD03 Diseña agroecosistemas que aúnen capacidad de producir alimentos y/u otros bienes y servicios, con un alto grado de resilencia y autonomía y mantenimiento de la biodiversidad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HD04 Desarrolla proyectos comunitarios de transformación o mantenimiento agroecológicos individualmente, en equipo, en investigación-acción participativa, con especial atención al desarrollo rural sustentable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HD05 Maneja y aplica teorías y conceptos de la ecología política, economía ecológica y técnicas de estimulación de la participación social en la toma de decisiones agroambientales.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HD06 Maneja metodologías, herramientas y enfoques organizativos feministas, orientados a eliminar las desigualdades y a construir nuevas relaciones de género; aplica la perspectiva feminista al análisis de las experiencias agroecológicas concretas.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HD07 Diagnostica y resuelve metodológicamente problemas agroecológicos y elabora informes y prospectivas de implantación de prácticas sustentables en los agroecosistemas y los sistemas agroalimentarios.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HD08 Desarrolla un trabajo de campo de acuerdo a un buen diseño y aplicación correcta de las técnicas de investigación-acción-participativa 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</w:tbl>
    <w:p>
      <w:pPr>
        <w:pStyle w:val="Normal"/>
        <w:widowControl w:val="false"/>
        <w:suppressLineNumbers/>
        <w:suppressAutoHyphens w:val="true"/>
        <w:bidi w:val="0"/>
        <w:spacing w:lineRule="auto" w:line="240" w:before="0" w:after="0"/>
        <w:ind w:left="0" w:right="0" w:hanging="624"/>
        <w:contextualSpacing/>
        <w:jc w:val="left"/>
        <w:textAlignment w:val="baseline"/>
        <w:rPr>
          <w:b w:val="false"/>
          <w:b w:val="false"/>
          <w:bCs w:val="false"/>
        </w:rPr>
      </w:pPr>
      <w:r>
        <w:rPr>
          <w:rFonts w:eastAsia="NSimSun" w:cs="Calibri" w:cstheme="minorHAnsi"/>
          <w:b w:val="false"/>
          <w:bCs w:val="false"/>
          <w:color w:val="000000"/>
          <w:kern w:val="2"/>
          <w:sz w:val="24"/>
          <w:szCs w:val="24"/>
          <w:lang w:eastAsia="zh-CN" w:bidi="hi-IN"/>
        </w:rPr>
        <w:t/>
      </w:r>
    </w:p>
    <w:tbl>
      <w:tblPr>
        <w:tblW w:w="9807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009"/>
        <w:gridCol w:w="2413"/>
        <w:gridCol w:w="2411"/>
        <w:gridCol w:w="104"/>
        <w:gridCol w:w="1869"/>
      </w:tblGrid>
      <w:tr>
        <w:trPr/>
        <w:tc>
          <w:tcPr>
            <w:tcW w:w="98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DESCRIPTORES DE CONTENIDOS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Clases teóricas: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1.   </w:t>
            </w:r>
            <w:r>
              <w:rPr>
                <w:sz w:val="22"/>
                <w:szCs w:val="22"/>
              </w:rPr>
              <w:t xml:space="preserve">
</w:t>
              <w:br/>
              <w:t xml:space="preserve">Conceptos y tipos de biodiversidad.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2.   </w:t>
            </w:r>
            <w:r>
              <w:rPr>
                <w:sz w:val="22"/>
                <w:szCs w:val="22"/>
              </w:rPr>
              <w:t xml:space="preserve">Biodiversidad ecológica y sociocultural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3.   </w:t>
            </w:r>
            <w:r>
              <w:rPr>
                <w:sz w:val="22"/>
                <w:szCs w:val="22"/>
              </w:rPr>
              <w:t xml:space="preserve">Conocimiento local, cultura y biodiversidad agraria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4.   </w:t>
            </w:r>
            <w:r>
              <w:rPr>
                <w:sz w:val="22"/>
                <w:szCs w:val="22"/>
              </w:rPr>
              <w:t xml:space="preserve">Manejo, conservación y uso de biodiversidad en sistemas de producción campesina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5.   </w:t>
            </w:r>
            <w:r>
              <w:rPr>
                <w:sz w:val="22"/>
                <w:szCs w:val="22"/>
              </w:rPr>
              <w:t xml:space="preserve">Manejo de la biodiversidad respecto a la ecología de la flora y fauna y al control biológico de plagas. 
</w:t>
              <w:br/>
              <w:t xml:space="preserve">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Clases prácticas: 
</w:t>
              <w:br/>
              <w:t xml:space="preserve">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1.   </w:t>
            </w:r>
            <w:r>
              <w:rPr>
                <w:sz w:val="22"/>
                <w:szCs w:val="22"/>
              </w:rPr>
              <w:t xml:space="preserve">Trabajo de campo: Biodiversidad en un agroecosistema predial seleccionado en varias fincas de la comarca de la Vega de Granada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/>
              <w:br/>
              <w:t xml:space="preserve"/>
            </w:r>
            <w:r>
              <w:rPr>
                <w:sz w:val="22"/>
                <w:szCs w:val="22"/>
                <w:b/>
              </w:rPr>
              <w:t xml:space="preserve">Actividades dirigidas: 
</w:t>
              <w:br/>
              <w:t xml:space="preserve">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1.   </w:t>
            </w:r>
            <w:r>
              <w:rPr>
                <w:sz w:val="22"/>
                <w:szCs w:val="22"/>
              </w:rPr>
              <w:t xml:space="preserve">Seminario: Puesta en común de experiencias de locales de intercambio de semillas y de conservación de la biodiversidad en la que han participado alumnos y profesores.</w:t>
            </w:r>
            <w:r>
              <w:t xml:space="preserve"/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ACTIVIDADES FORMATIVAS Y METODOLOGÍAS DOCENTES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t xml:space="preserve"/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Actividad formativa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Modalidad de enseñanza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Dedicación</w:t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  <w:t>(horas de trabajo autónomo del estudiante)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Dedicación</w:t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  <w:t>(horas de trabajo lectivas del estudiante con apoyo del profesor)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Actividades expositivas y prácticas (presenciales, síncronas y/o asíncronas)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PRESENCIAL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0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25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Actividades dirigidas y/o supervisadas académicamente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PRESENCIAL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0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5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Actividades autónomas del estudiante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SIN DETERMINAR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45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0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SISTEMA DE EVALUACIÓN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La asignatura será evaluada a través de la realización de un trabajo individual de reflexión y análisis utilizando las lecturas y los contenidos facilitados en clase y en la moodle.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Al final de la asignatura habrá una actividad de debate y puesta en común de los contenidos y las principales aportaciones prácticas.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Estos trabajos tendrán que entregarse antes del plazo máximo, bien por correo electrónico a la persona coordinadora de módulo o subiendo un archivo como tarea en el apartado correspondiente de la asignatura en la moodle.</w:t>
            </w:r>
            <w:r>
              <w:t xml:space="preserve"/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vAlign w:val="center"/>
          </w:tcPr>
          <w:p>
            <w:pPr>
              <w:pStyle w:val="Normal"/>
              <w:widowControl w:val="false"/>
              <w:spacing w:before="0" w:after="0"/>
              <w:contextualSpacing/>
              <w:jc w:val="center"/>
              <w:rPr>
                <w:rFonts w:eastAsia="Tahoma" w:cs="Calibri"/>
                <w:b/>
                <w:b/>
                <w:sz w:val="26"/>
                <w:szCs w:val="26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2"/>
                <w:szCs w:val="22"/>
                <w:lang w:val="es-ES" w:eastAsia="zh-CN" w:bidi="hi-IN"/>
              </w:rPr>
              <w:t/>
            </w:r>
            <w:r>
              <w:rPr>
                <w:rFonts w:eastAsia="Tahoma" w:cs="Calibri" w:cstheme="minorHAnsi"/>
                <w:b/>
                <w:color w:val="000000"/>
                <w:kern w:val="2"/>
                <w:sz w:val="26"/>
                <w:szCs w:val="26"/>
                <w:lang w:val="es-ES" w:eastAsia="zh-CN" w:bidi="hi-IN"/>
              </w:rPr>
              <w:t>Estrategias/metodologías de evaluación</w:t>
            </w:r>
            <w:r>
              <w:rPr>
                <w:rFonts w:eastAsia="NSimSun" w:cs="Calibri" w:cstheme="minorHAnsi"/>
                <w:b/>
                <w:color w:val="000000"/>
                <w:kern w:val="2"/>
                <w:sz w:val="22"/>
                <w:szCs w:val="22"/>
                <w:lang w:val="es-ES" w:eastAsia="zh-CN" w:bidi="hi-IN"/>
              </w:rPr>
              <w:t/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Tahoma" w:cs="Calibri" w:cstheme="minorHAnsi"/>
                <w:b/>
              </w:rPr>
              <w:t>Porcentaje de valoración sobre el total</w:t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Casos y supuestos prácticos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40%</w:t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Informes/memorias de prácticas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30%</w:t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Trabajos en grupo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30%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MEDIOS Y RECURSOS DIDÁCTICOS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Lección magistral   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Trabajos en grupo y/o exposiciones en grupo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Estudios de caso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BIBLIOGRAFÍA</w:t>
            </w:r>
          </w:p>
        </w:tc>
      </w:tr>
      <w:tr>
        <w:trPr>
          <w:trHeight w:val="522" w:hRule="atLeast"/>
        </w:trPr>
        <w:tc>
          <w:tcPr>
            <w:tcW w:w="98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ACOSTA, R. La biodiversidad en la agricultura. En Juan Maestre, Alba González y Ángel Casas (eds.) Nuevas rutas para el desarrollo en América Latina. Experiencias globales y locales. Editorial Universidad Iberoamericana. México D.F. 2008. pp. 239-260.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ALTIERI, M. 1994. Biodiversity and Pest Management in Agroecosistems. Food Products Press. New York.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GLISSMAN, S.R. 2002. Agroecología. Procesos ecológicos en agricultura sostenible. CATIE. Turrialba. Costa Rica.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ORLOVE, B.S. y BRUSH, S.B. 1996. Anthropology and the conservation of biodiversity. Annual Review of Anthropology, vol 26. pp. 329-352.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ROUÉ, M (ed.). 2006. Cultural Diversity and Biodiversity. Internacional Social Science Journal, nº 187. March.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SCHULZE, E.D. y H.A. MOONEY (eds.). 1994. Biodiversity and Ecosystem Function. Springer Study Edition. Springer-Verlag. Berlin.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SHIVA, V. 2001. Biopiratería. El saqueo de la naturaleza y el conocimiento. Icaria. Barcelona.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WILSSON, E.O. (ed). 1988. Biodiversity. National Academy Press. Washinton, D.C.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ZIMMERER, K.S. 1996. Changing Fortunes: Biodiversity and Peasant Livelihood in the Peruvian Andes. University of California Press. Berkeley.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>
          <w:trHeight w:val="413" w:hRule="atLeast"/>
        </w:trPr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PLAN DE CONTINGENCIA</w:t>
            </w:r>
          </w:p>
        </w:tc>
      </w:tr>
      <w:tr>
        <w:trPr>
          <w:trHeight w:val="522" w:hRule="atLeast"/>
        </w:trPr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t xml:space="preserve"/>
            </w:r>
            <w:r>
              <w:rPr>
                <w:rFonts w:eastAsia="NSimSun" w:cs="Calibri" w:cstheme="minorHAnsi"/>
                <w:b w:val="false"/>
                <w:bCs w:val="false"/>
                <w:color w:val="000000"/>
                <w:kern w:val="2"/>
                <w:sz w:val="24"/>
                <w:szCs w:val="24"/>
                <w:lang w:eastAsia="zh-CN" w:bidi="hi-IN"/>
              </w:rPr>
              <w:t/>
            </w:r>
          </w:p>
        </w:tc>
      </w:tr>
    </w:tbl>
    <w:p>
      <w:pPr>
        <w:pStyle w:val="TableContents"/>
        <w:spacing w:before="0" w:after="160"/>
        <w:jc w:val="both"/>
        <w:rPr>
          <w:rFonts w:ascii="Serif" w:hAnsi="Serif"/>
        </w:rPr>
      </w:pPr>
      <w:r>
        <w:rPr>
          <w:rFonts w:ascii="Serif" w:hAnsi="Serif"/>
        </w:rPr>
      </w:r>
    </w:p>
    <w:p>
      <w:pPr>
        <w:pStyle w:val="TableContents"/>
        <w:spacing w:before="0" w:after="160"/>
        <w:jc w:val="both"/>
        <w:rPr>
          <w:rFonts w:ascii="Serif" w:hAnsi="Serif"/>
        </w:rPr>
      </w:pPr>
      <w:r>
        <w:rPr>
          <w:rFonts w:eastAsia="Calibri" w:cs="" w:ascii="Serif" w:hAnsi="Serif" w:cstheme="minorBidi" w:eastAsiaTheme="minorHAnsi"/>
          <w:b w:val="false"/>
          <w:bCs w:val="false"/>
          <w:color w:val="00000A"/>
          <w:kern w:val="0"/>
          <w:sz w:val="20"/>
          <w:szCs w:val="20"/>
          <w:lang w:val="es-ES" w:eastAsia="en-US" w:bidi="ar-SA"/>
        </w:rPr>
        <w:t>En Sevilla, a 15 de julio de 2024.</w:t>
      </w:r>
    </w:p>
    <w:p>
      <w:pPr>
        <w:pStyle w:val="TableContents"/>
        <w:widowControl/>
        <w:suppressAutoHyphens w:val="true"/>
        <w:bidi w:val="0"/>
        <w:spacing w:lineRule="auto" w:line="312" w:before="0" w:after="160"/>
        <w:ind w:left="-567" w:right="0" w:hanging="0"/>
        <w:jc w:val="right"/>
        <w:rPr>
          <w:rFonts w:ascii="Serif" w:hAnsi="Serif"/>
        </w:rPr>
      </w:pPr>
      <w:r>
        <w:rPr>
          <w:rFonts w:eastAsia="Calibri" w:cs="" w:ascii="Serif" w:hAnsi="Serif" w:cstheme="minorBidi" w:eastAsiaTheme="minorHAnsi"/>
          <w:b w:val="false"/>
          <w:bCs w:val="false"/>
          <w:color w:val="00000A"/>
          <w:kern w:val="0"/>
          <w:sz w:val="20"/>
          <w:szCs w:val="20"/>
          <w:lang w:val="es-ES" w:eastAsia="en-US" w:bidi="ar-SA"/>
        </w:rPr>
        <w:t>Fdo.: González de Molina, Manuel</w:t>
      </w:r>
    </w:p>
    <w:p>
      <w:pPr>
        <w:pStyle w:val="TableContents"/>
        <w:widowControl/>
        <w:suppressAutoHyphens w:val="true"/>
        <w:bidi w:val="0"/>
        <w:spacing w:lineRule="auto" w:line="312" w:before="0" w:after="160"/>
        <w:ind w:left="-567" w:right="0" w:hanging="0"/>
        <w:jc w:val="right"/>
        <w:rPr>
          <w:rFonts w:ascii="Serif" w:hAnsi="Serif"/>
        </w:rPr>
      </w:pPr>
      <w:r>
        <w:rPr>
          <w:rFonts w:ascii="Serif" w:hAnsi="Serif"/>
        </w:rPr>
      </w:r>
    </w:p>
    <w:p>
      <w:pPr>
        <w:pStyle w:val="Normal"/>
        <w:widowControl/>
        <w:suppressAutoHyphens w:val="true"/>
        <w:bidi w:val="0"/>
        <w:spacing w:lineRule="auto" w:line="312" w:before="120" w:after="120"/>
        <w:ind w:left="-567" w:right="0" w:hanging="0"/>
        <w:contextualSpacing/>
        <w:jc w:val="left"/>
        <w:rPr>
          <w:sz w:val="10"/>
          <w:szCs w:val="10"/>
        </w:rPr>
      </w:pPr>
      <w:r>
        <w:rPr>
          <w:rFonts w:ascii="Times New Roman" w:hAnsi="Times New Roman"/>
          <w:sz w:val="10"/>
          <w:szCs w:val="10"/>
        </w:rPr>
        <w:t>            Conforme a lo dispuesto en la legislación vigente en materia de protección de datos de carácter personal(Reglamento(UE) 2016/679, de 27 de abril) le informamos que los datos personales que nos ha facilitado pasarán a ser tratados por la UNIVERSIDAD INTERNACONAL DE ANDALUCÍA como responsable del tratamiento, siendo órgano competente en la materia la Dirección del Área de Gestión Académica(Monasterio Santa María de las Cuevas, C / Américo Vespucio nº2. Isla de La Cartuja - 41092 - Sevilla) ante quien Ud. puede ejercitar sus derechos de acceso, rectificación, limitación, oposición o portabilidad señalando concretamente la causa de su solicitud y acompañando copia de su documento acreditativo de identidad. La solicitud podrá hacerse mediante escrito en formato papel o por medios electrónicos.
</w:t>
        <w:br/>
        <w:t xml:space="preserve">
</w:t>
        <w:br/>
        <w:t xml:space="preserve">            Caso de no obtener contestación o ver desestimada su solicitud puede dirigirse al Delegado de Protección de Datos de la Universidad(rgpd@unia.es Tfno 954 462299) o en reclamación a la Agencia Española de Protección de Datos a través de los formularios que esa entidad tiene habilitados al efecto y que son accesibles desde su página web: https: // sedeagpd.gob.es
</w:t>
        <w:br/>
        <w:t xml:space="preserve">
</w:t>
        <w:br/>
        <w:t xml:space="preserve">            Como responsable, la Universidad le informa que exclusivamente tratará los datos personales que Ud. le facilite para dar cumplimiento a los siguientes fines:
</w:t>
        <w:br/>
        <w:t xml:space="preserve">            a)    Gestión académica y administrativa de:
</w:t>
        <w:br/>
        <w:t xml:space="preserve">                •    Participación en procesos de acceso y admisión a las enseñanzas oficiales(Grado, Máster y Doctorado) o de formación Continua de la Universidad Internacional de Andalucía.
</w:t>
        <w:br/>
        <w:t xml:space="preserve">                •    Inscripción y/o matrícula como alumno en cualquiera de las titulaciones oficiales(Grado, Máster y Doctorado), Formación Continua u otras actividades académicas ofrecidas por la Universidad Internacional de    Andalucía.
</w:t>
        <w:br/>
        <w:t xml:space="preserve">                •    Participación en convocatorias de becas y ayudas al estudio de la Universidad Internacional de Andalucía, la Admón. General del Estado o la de las Comunidades Autónomas y de otras entidades públicas o privadas.
</w:t>
        <w:br/>
        <w:t xml:space="preserve">                •    Participación en convocatorias de programas de movilidad de carácter nacional o internacional.
</w:t>
        <w:br/>
        <w:t xml:space="preserve">                •    Obtención y expedición de títulos oficiales, títulos propios y otros títulos académico
</w:t>
        <w:br/>
        <w:t xml:space="preserve">            b)    Gestión de su participación como estudiante en prácticas y actividades formativas nacionales o internacionales en instituciones, empresas, organismos o en otros centros.
</w:t>
        <w:br/>
        <w:t xml:space="preserve">            c)    Utilización de servicios universitarios como obtención del carné universitario, bibliotecas, actividades deportivas u otros.
</w:t>
        <w:br/>
        <w:t xml:space="preserve">
</w:t>
        <w:br/>
        <w:t xml:space="preserve">            La Universidad se encuentra legitimada para tratar estos datos al ser necesarios para la ejecución de la relación jurídica establecida entre Ud. y la Universidad y para que ésta pueda cumplir con sus obligaciones legales establecidas en la Ley Orgánica 6/2001, de Universidades.
</w:t>
        <w:br/>
        <w:t xml:space="preserve">            Usted responde de la veracidad de los datos personales que ha proporcionado a la Universidad y de su actualización.
</w:t>
        <w:br/>
        <w:t xml:space="preserve">            La Universidad comunicará los datos personales que sean indispensables, y nunca en otro caso, a las siguientes categorías de destinatarios:
</w:t>
        <w:br/>
        <w:t xml:space="preserve">                •    A otras Administraciones y organismos públicos para el ejercicio de las competencias que les sean propias y compatibles con las finalidades arriba enunciadas(Así - a modo enunciativo y no limitativo - a Ministerios con competencias en educación y ciencia, a otras administraciones, a otras Universidades o Centros formativos equivalentes para la gestión de traslados, a empresas para la realización de prácticas)
</w:t>
        <w:br/>
        <w:t xml:space="preserve">                •    A entidades bancarias para la gestión de pagos y cobros.
</w:t>
        <w:br/>
        <w:t xml:space="preserve">                •    A organismos públicos o privados en virtud de la celebración de convenios de colaboración o contratos, conforme a lo dispuesto en la legislación vigente en materia de Protección de Datos.
</w:t>
        <w:br/>
        <w:t xml:space="preserve">                •    A los servicios de la propia Universidad que sean adecuados para gestionar la utilización de los servicios universitarios ofertados.
</w:t>
        <w:br/>
        <w:t xml:space="preserve">            Sus datos de carácter personal se tratarán y conservarán por la Universidad conforme a la legislación vigente en materia de protección de datos, pasando luego a formar parte –previo expurgo - del Archivo Histórico Universitario conforme a lo dispuesto en la legislación sobre Patrimonio Histórico.
</w:t>
        <w:br/>
        <w:t xml:space="preserve">
</w:t>
        <w:br/>
        <w:t xml:space="preserve">            La Universidad sólo prevé la transferencia de datos a terceros países en el caso de su participación como alumno en alguno de los programas de formación o becas de carácter internacional. La transferencia se realizará siguiendo las directrices establecidas al respecto por el Reglamento Europeo de Protección de Datos y normativa de desarrollo.
</w:t>
        <w:br/>
        <w:t xml:space="preserve">            El Servicio de Protección de Datos de la Universidad Internacional de Andalucía cuenta con una página en la que incluye legislación, información y modelos en relación con la Protección de Datos Personales a la que puede acceder desde el siguiente enlace:  https://www.unia.es/protecciondatos</w:t>
      </w:r>
    </w:p>
    <w:sectPr>
      <w:headerReference w:type="default" r:id="rId6"/>
      <w:footerReference w:type="default" r:id="rId7"/>
      <w:type w:val="nextPage"/>
      <w:pgSz w:w="11906" w:h="16838"/>
      <w:pgMar w:left="1701" w:right="1701" w:header="567" w:top="1418" w:footer="709" w:bottom="1418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Cambria">
    <w:charset w:val="01"/>
    <w:family w:val="roman"/>
    <w:pitch w:val="variable"/>
  </w:font>
  <w:font w:name="Segoe UI">
    <w:charset w:val="01"/>
    <w:family w:val="roman"/>
    <w:pitch w:val="variable"/>
  </w:font>
  <w:font w:name="Liberation Mono">
    <w:altName w:val="Courier New"/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Serif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118311391"/>
    </w:sdtPr>
    <w:sdtContent>
      <w:p>
        <w:pPr>
          <w:pStyle w:val="Footer"/>
          <w:jc w:val="center"/>
          <w:rPr>
            <w:sz w:val="18"/>
            <w:szCs w:val="18"/>
          </w:rPr>
        </w:pPr>
        <w:r>
          <w:rPr>
            <w:sz w:val="18"/>
            <w:szCs w:val="18"/>
          </w:rPr>
          <w:fldChar w:fldCharType="begin"/>
        </w:r>
        <w:r>
          <w:rPr>
            <w:sz w:val="18"/>
            <w:szCs w:val="18"/>
          </w:rPr>
          <w:instrText> PAGE </w:instrText>
        </w:r>
        <w:r>
          <w:rPr>
            <w:sz w:val="18"/>
            <w:szCs w:val="18"/>
          </w:rPr>
          <w:fldChar w:fldCharType="separate"/>
        </w:r>
        <w:r>
          <w:rPr>
            <w:sz w:val="18"/>
            <w:szCs w:val="18"/>
          </w:rPr>
          <w:t>2</w:t>
        </w:r>
        <w:r>
          <w:rPr>
            <w:sz w:val="18"/>
            <w:szCs w:val="18"/>
          </w:rPr>
          <w:fldChar w:fldCharType="end"/>
        </w:r>
      </w:p>
    </w:sdtContent>
  </w:sdt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83614652"/>
    </w:sdtPr>
    <w:sdtContent>
      <w:p>
        <w:pPr>
          <w:pStyle w:val="Footer"/>
          <w:jc w:val="center"/>
          <w:rPr>
            <w:sz w:val="18"/>
            <w:szCs w:val="18"/>
          </w:rPr>
        </w:pPr>
        <w:r>
          <w:rPr>
            <w:sz w:val="18"/>
            <w:szCs w:val="18"/>
          </w:rPr>
          <w:fldChar w:fldCharType="begin"/>
        </w:r>
        <w:r>
          <w:rPr>
            <w:sz w:val="18"/>
            <w:szCs w:val="18"/>
          </w:rPr>
          <w:instrText> PAGE </w:instrText>
        </w:r>
        <w:r>
          <w:rPr>
            <w:sz w:val="18"/>
            <w:szCs w:val="18"/>
          </w:rPr>
          <w:fldChar w:fldCharType="separate"/>
        </w:r>
        <w:r>
          <w:rPr>
            <w:sz w:val="18"/>
            <w:szCs w:val="18"/>
          </w:rPr>
          <w:t>5</w:t>
        </w:r>
        <w:r>
          <w:rPr>
            <w:sz w:val="18"/>
            <w:szCs w:val="18"/>
          </w:rPr>
          <w:fldChar w:fldCharType="end"/>
        </w:r>
      </w:p>
    </w:sdtContent>
  </w:sdt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9808" w:type="dxa"/>
      <w:jc w:val="left"/>
      <w:tblInd w:w="-520" w:type="dxa"/>
      <w:tblCellMar>
        <w:top w:w="0" w:type="dxa"/>
        <w:left w:w="108" w:type="dxa"/>
        <w:bottom w:w="0" w:type="dxa"/>
        <w:right w:w="108" w:type="dxa"/>
      </w:tblCellMar>
      <w:tblLook w:val="0000" w:noHBand="0" w:noVBand="0" w:firstColumn="0" w:lastRow="0" w:lastColumn="0" w:firstRow="0"/>
    </w:tblPr>
    <w:tblGrid>
      <w:gridCol w:w="4419"/>
      <w:gridCol w:w="5388"/>
    </w:tblGrid>
    <w:tr>
      <w:trPr/>
      <w:tc>
        <w:tcPr>
          <w:tcW w:w="4419" w:type="dxa"/>
          <w:tcBorders/>
          <w:shd w:color="auto" w:fill="auto" w:val="clear"/>
          <w:vAlign w:val="center"/>
        </w:tcPr>
        <w:p>
          <w:pPr>
            <w:pStyle w:val="Normal"/>
            <w:widowControl w:val="false"/>
            <w:suppressLineNumbers/>
            <w:tabs>
              <w:tab w:val="clear" w:pos="708"/>
              <w:tab w:val="center" w:pos="4819" w:leader="none"/>
              <w:tab w:val="right" w:pos="9638" w:leader="none"/>
            </w:tabs>
            <w:suppressAutoHyphens w:val="true"/>
            <w:spacing w:lineRule="auto" w:line="240" w:before="0" w:after="0"/>
            <w:textAlignment w:val="baseline"/>
            <w:rPr>
              <w:rFonts w:ascii="Times New Roman" w:hAnsi="Times New Roman" w:eastAsia="Times New Roman" w:cs="Times New Roman"/>
              <w:kern w:val="2"/>
              <w:sz w:val="20"/>
              <w:szCs w:val="20"/>
              <w:lang w:eastAsia="zh-CN"/>
            </w:rPr>
          </w:pPr>
          <w:r>
            <w:rPr>
              <w:rFonts w:eastAsia="Times New Roman" w:cs="Times New Roman" w:ascii="Times New Roman" w:hAnsi="Times New Roman"/>
              <w:kern w:val="2"/>
              <w:sz w:val="20"/>
              <w:szCs w:val="20"/>
              <w:lang w:eastAsia="zh-CN"/>
            </w:rPr>
            <w:drawing>
              <wp:anchor behindDoc="1" distT="0" distB="0" distL="0" distR="0" simplePos="0" locked="0" layoutInCell="1" allowOverlap="1" relativeHeight="4">
                <wp:simplePos x="0" y="0"/>
                <wp:positionH relativeFrom="column">
                  <wp:align>center</wp:align>
                </wp:positionH>
                <wp:positionV relativeFrom="paragraph">
                  <wp:posOffset>635</wp:posOffset>
                </wp:positionV>
                <wp:extent cx="2139950" cy="708660"/>
                <wp:effectExtent l="0" t="0" r="0" b="0"/>
                <wp:wrapSquare wrapText="largest"/>
                <wp:docPr id="2" name="Image2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2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39950" cy="7086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388" w:type="dxa"/>
          <w:tcBorders/>
          <w:shd w:color="auto" w:fill="auto" w:val="clear"/>
          <w:vAlign w:val="center"/>
        </w:tcPr>
        <w:p>
          <w:pPr>
            <w:pStyle w:val="Normal"/>
            <w:widowControl w:val="false"/>
            <w:spacing w:before="480" w:after="160"/>
            <w:jc w:val="right"/>
            <w:rPr>
              <w:sz w:val="28"/>
              <w:szCs w:val="28"/>
            </w:rPr>
          </w:pPr>
          <w:r>
            <w:rPr>
              <w:rFonts w:eastAsia="NSimSun" w:cs="Calibri" w:cstheme="minorHAnsi"/>
              <w:b/>
              <w:color w:val="000000"/>
              <w:kern w:val="2"/>
              <w:sz w:val="28"/>
              <w:szCs w:val="28"/>
              <w:lang w:bidi="hi-IN"/>
            </w:rPr>
            <w:t xml:space="preserve">  </w:t>
          </w:r>
          <w:r>
            <w:rPr>
              <w:rFonts w:eastAsia="NSimSun" w:cs="Calibri" w:cstheme="minorHAnsi"/>
              <w:b/>
              <w:color w:val="000000"/>
              <w:kern w:val="2"/>
              <w:sz w:val="28"/>
              <w:szCs w:val="28"/>
              <w:lang w:bidi="hi-IN"/>
            </w:rPr>
            <w:t>GUÍA DOCENTE</w:t>
          </w:r>
        </w:p>
      </w:tc>
    </w:tr>
  </w:tbl>
  <w:p>
    <w:pPr>
      <w:pStyle w:val="Header"/>
      <w:rPr>
        <w:rFonts w:eastAsia="NSimSun" w:cs="Calibri" w:cstheme="minorHAnsi"/>
        <w:b/>
        <w:b/>
        <w:color w:val="000000"/>
        <w:kern w:val="2"/>
        <w:sz w:val="28"/>
        <w:szCs w:val="28"/>
        <w:lang w:bidi="hi-IN"/>
      </w:rPr>
    </w:pPr>
    <w:r>
      <w:rPr>
        <w:rFonts w:eastAsia="NSimSun" w:cs="Calibri" w:cstheme="minorHAnsi"/>
        <w:b/>
        <w:color w:val="000000"/>
        <w:kern w:val="2"/>
        <w:sz w:val="28"/>
        <w:szCs w:val="28"/>
        <w:lang w:bidi="hi-IN"/>
      </w:rPr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425"/>
  <w:themeFontLang w:val="es-E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s-E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semiHidden="1" w:unhideWhenUsed="1" w:qFormat="1"/>
    <w:lsdException w:name="heading 3" w:uiPriority="0" w:semiHidden="1" w:unhideWhenUsed="1" w:qFormat="1"/>
    <w:lsdException w:name="heading 4" w:uiPriority="0" w:semiHidden="1" w:unhideWhenUsed="1" w:qFormat="1"/>
    <w:lsdException w:name="heading 5" w:uiPriority="0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1b6d50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s-ES" w:eastAsia="en-US" w:bidi="ar-SA"/>
    </w:rPr>
  </w:style>
  <w:style w:type="paragraph" w:styleId="Heading1">
    <w:name w:val="Heading 1"/>
    <w:basedOn w:val="Normal"/>
    <w:next w:val="Normal"/>
    <w:link w:val="Ttulo1Car"/>
    <w:qFormat/>
    <w:rsid w:val="00a938e0"/>
    <w:pPr>
      <w:keepNext w:val="true"/>
      <w:suppressAutoHyphens w:val="true"/>
      <w:spacing w:lineRule="auto" w:line="240" w:before="0" w:after="0"/>
      <w:jc w:val="center"/>
      <w:textAlignment w:val="baseline"/>
      <w:outlineLvl w:val="0"/>
    </w:pPr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paragraph" w:styleId="Heading2">
    <w:name w:val="Heading 2"/>
    <w:basedOn w:val="Normal"/>
    <w:next w:val="Normal"/>
    <w:link w:val="Ttulo2Car"/>
    <w:qFormat/>
    <w:rsid w:val="00a938e0"/>
    <w:pPr>
      <w:keepNext w:val="true"/>
      <w:suppressAutoHyphens w:val="true"/>
      <w:spacing w:lineRule="auto" w:line="240" w:before="240" w:after="60"/>
      <w:textAlignment w:val="baseline"/>
      <w:outlineLvl w:val="1"/>
    </w:pPr>
    <w:rPr>
      <w:rFonts w:ascii="Cambria" w:hAnsi="Cambria" w:eastAsia="Times New Roman" w:cs="Times New Roman"/>
      <w:b/>
      <w:bCs/>
      <w:i/>
      <w:iCs/>
      <w:kern w:val="2"/>
      <w:sz w:val="28"/>
      <w:szCs w:val="28"/>
      <w:lang w:eastAsia="zh-CN"/>
    </w:rPr>
  </w:style>
  <w:style w:type="paragraph" w:styleId="Heading3">
    <w:name w:val="Heading 3"/>
    <w:basedOn w:val="Normal"/>
    <w:next w:val="Normal"/>
    <w:link w:val="Ttulo3Car"/>
    <w:qFormat/>
    <w:rsid w:val="00a938e0"/>
    <w:pPr>
      <w:keepNext w:val="true"/>
      <w:suppressAutoHyphens w:val="true"/>
      <w:spacing w:lineRule="auto" w:line="240" w:before="240" w:after="60"/>
      <w:textAlignment w:val="baseline"/>
      <w:outlineLvl w:val="2"/>
    </w:pPr>
    <w:rPr>
      <w:rFonts w:ascii="Cambria" w:hAnsi="Cambria" w:eastAsia="Times New Roman" w:cs="Times New Roman"/>
      <w:b/>
      <w:bCs/>
      <w:kern w:val="2"/>
      <w:sz w:val="26"/>
      <w:szCs w:val="26"/>
      <w:lang w:eastAsia="zh-CN"/>
    </w:rPr>
  </w:style>
  <w:style w:type="paragraph" w:styleId="Heading4">
    <w:name w:val="Heading 4"/>
    <w:basedOn w:val="Normal"/>
    <w:next w:val="Normal"/>
    <w:link w:val="Ttulo4Car"/>
    <w:qFormat/>
    <w:rsid w:val="00a938e0"/>
    <w:pPr>
      <w:keepNext w:val="true"/>
      <w:suppressAutoHyphens w:val="true"/>
      <w:spacing w:lineRule="auto" w:line="240" w:before="0" w:after="0"/>
      <w:textAlignment w:val="baseline"/>
      <w:outlineLvl w:val="3"/>
    </w:pPr>
    <w:rPr>
      <w:rFonts w:ascii="Times New Roman" w:hAnsi="Times New Roman" w:eastAsia="Times New Roman" w:cs="Times New Roman"/>
      <w:b/>
      <w:kern w:val="2"/>
      <w:szCs w:val="20"/>
      <w:lang w:eastAsia="zh-CN"/>
    </w:rPr>
  </w:style>
  <w:style w:type="paragraph" w:styleId="Heading5">
    <w:name w:val="Heading 5"/>
    <w:basedOn w:val="Normal"/>
    <w:next w:val="Normal"/>
    <w:link w:val="Ttulo5Car"/>
    <w:qFormat/>
    <w:rsid w:val="00a938e0"/>
    <w:pPr>
      <w:keepNext w:val="true"/>
      <w:suppressAutoHyphens w:val="true"/>
      <w:spacing w:lineRule="auto" w:line="240" w:before="0" w:after="0"/>
      <w:jc w:val="both"/>
      <w:textAlignment w:val="baseline"/>
      <w:outlineLvl w:val="4"/>
    </w:pPr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ncabezadoCar" w:customStyle="1">
    <w:name w:val="Encabezado Car"/>
    <w:basedOn w:val="DefaultParagraphFont"/>
    <w:uiPriority w:val="99"/>
    <w:qFormat/>
    <w:rsid w:val="00a938e0"/>
    <w:rPr/>
  </w:style>
  <w:style w:type="character" w:styleId="PiedepginaCar" w:customStyle="1">
    <w:name w:val="Pie de página Car"/>
    <w:basedOn w:val="DefaultParagraphFont"/>
    <w:uiPriority w:val="99"/>
    <w:qFormat/>
    <w:rsid w:val="00a938e0"/>
    <w:rPr/>
  </w:style>
  <w:style w:type="character" w:styleId="Ttulo1Car" w:customStyle="1">
    <w:name w:val="Título 1 Car"/>
    <w:basedOn w:val="DefaultParagraphFont"/>
    <w:qFormat/>
    <w:rsid w:val="00a938e0"/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character" w:styleId="Ttulo2Car" w:customStyle="1">
    <w:name w:val="Título 2 Car"/>
    <w:basedOn w:val="DefaultParagraphFont"/>
    <w:qFormat/>
    <w:rsid w:val="00a938e0"/>
    <w:rPr>
      <w:rFonts w:ascii="Cambria" w:hAnsi="Cambria" w:eastAsia="Times New Roman" w:cs="Times New Roman"/>
      <w:b/>
      <w:bCs/>
      <w:i/>
      <w:iCs/>
      <w:kern w:val="2"/>
      <w:sz w:val="28"/>
      <w:szCs w:val="28"/>
      <w:lang w:eastAsia="zh-CN"/>
    </w:rPr>
  </w:style>
  <w:style w:type="character" w:styleId="Ttulo3Car" w:customStyle="1">
    <w:name w:val="Título 3 Car"/>
    <w:basedOn w:val="DefaultParagraphFont"/>
    <w:qFormat/>
    <w:rsid w:val="00a938e0"/>
    <w:rPr>
      <w:rFonts w:ascii="Cambria" w:hAnsi="Cambria" w:eastAsia="Times New Roman" w:cs="Times New Roman"/>
      <w:b/>
      <w:bCs/>
      <w:kern w:val="2"/>
      <w:sz w:val="26"/>
      <w:szCs w:val="26"/>
      <w:lang w:eastAsia="zh-CN"/>
    </w:rPr>
  </w:style>
  <w:style w:type="character" w:styleId="Ttulo4Car" w:customStyle="1">
    <w:name w:val="Título 4 Car"/>
    <w:basedOn w:val="DefaultParagraphFont"/>
    <w:qFormat/>
    <w:rsid w:val="00a938e0"/>
    <w:rPr>
      <w:rFonts w:ascii="Times New Roman" w:hAnsi="Times New Roman" w:eastAsia="Times New Roman" w:cs="Times New Roman"/>
      <w:b/>
      <w:kern w:val="2"/>
      <w:szCs w:val="20"/>
      <w:lang w:eastAsia="zh-CN"/>
    </w:rPr>
  </w:style>
  <w:style w:type="character" w:styleId="Ttulo5Car" w:customStyle="1">
    <w:name w:val="Título 5 Car"/>
    <w:basedOn w:val="DefaultParagraphFont"/>
    <w:qFormat/>
    <w:rsid w:val="00a938e0"/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character" w:styleId="TextodegloboCar" w:customStyle="1">
    <w:name w:val="Texto de globo Car"/>
    <w:basedOn w:val="DefaultParagraphFont"/>
    <w:uiPriority w:val="99"/>
    <w:semiHidden/>
    <w:qFormat/>
    <w:rsid w:val="00bf3531"/>
    <w:rPr>
      <w:rFonts w:ascii="Segoe UI" w:hAnsi="Segoe UI" w:cs="Segoe UI"/>
      <w:sz w:val="18"/>
      <w:szCs w:val="18"/>
    </w:rPr>
  </w:style>
  <w:style w:type="character" w:styleId="InternetLink">
    <w:name w:val="Hyperlink"/>
    <w:basedOn w:val="DefaultParagraphFont"/>
    <w:uiPriority w:val="99"/>
    <w:unhideWhenUsed/>
    <w:rsid w:val="00ab01e2"/>
    <w:rPr>
      <w:color w:val="0563C1" w:themeColor="hyperlink"/>
      <w:u w:val="single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4c72f0"/>
    <w:rPr>
      <w:sz w:val="16"/>
      <w:szCs w:val="16"/>
    </w:rPr>
  </w:style>
  <w:style w:type="character" w:styleId="TextocomentarioCar" w:customStyle="1">
    <w:name w:val="Texto comentario Car"/>
    <w:basedOn w:val="DefaultParagraphFont"/>
    <w:uiPriority w:val="99"/>
    <w:semiHidden/>
    <w:qFormat/>
    <w:rsid w:val="004c72f0"/>
    <w:rPr>
      <w:sz w:val="20"/>
      <w:szCs w:val="20"/>
    </w:rPr>
  </w:style>
  <w:style w:type="character" w:styleId="AsuntodelcomentarioCar" w:customStyle="1">
    <w:name w:val="Asunto del comentario Car"/>
    <w:basedOn w:val="TextocomentarioCar"/>
    <w:uiPriority w:val="99"/>
    <w:semiHidden/>
    <w:qFormat/>
    <w:rsid w:val="004c72f0"/>
    <w:rPr>
      <w:b/>
      <w:bCs/>
      <w:sz w:val="20"/>
      <w:szCs w:val="20"/>
    </w:rPr>
  </w:style>
  <w:style w:type="character" w:styleId="TextonotapieCar" w:customStyle="1">
    <w:name w:val="Texto nota pie Car"/>
    <w:basedOn w:val="DefaultParagraphFont"/>
    <w:uiPriority w:val="99"/>
    <w:semiHidden/>
    <w:qFormat/>
    <w:rsid w:val="00b358be"/>
    <w:rPr>
      <w:sz w:val="20"/>
      <w:szCs w:val="20"/>
    </w:rPr>
  </w:style>
  <w:style w:type="character" w:styleId="FootnoteCharacters">
    <w:name w:val="Footnote Characters"/>
    <w:basedOn w:val="DefaultParagraphFont"/>
    <w:uiPriority w:val="99"/>
    <w:semiHidden/>
    <w:unhideWhenUsed/>
    <w:qFormat/>
    <w:rsid w:val="00b358be"/>
    <w:rPr>
      <w:vertAlign w:val="superscript"/>
    </w:rPr>
  </w:style>
  <w:style w:type="character" w:styleId="FootnoteAnchor">
    <w:name w:val="Footnote Anchor"/>
    <w:qFormat/>
    <w:rPr>
      <w:vertAlign w:val="superscript"/>
    </w:rPr>
  </w:style>
  <w:style w:type="character" w:styleId="VisitedInternetLink">
    <w:name w:val="FollowedHyperlink"/>
    <w:basedOn w:val="DefaultParagraphFont"/>
    <w:uiPriority w:val="99"/>
    <w:semiHidden/>
    <w:unhideWhenUsed/>
    <w:rsid w:val="00996024"/>
    <w:rPr>
      <w:color w:val="954F72" w:themeColor="followedHyperlink"/>
      <w:u w:val="single"/>
    </w:rPr>
  </w:style>
  <w:style w:type="character" w:styleId="EndnoteAnchor">
    <w:name w:val="Endnote Anchor"/>
    <w:qFormat/>
    <w:rPr>
      <w:vertAlign w:val="superscript"/>
    </w:rPr>
  </w:style>
  <w:style w:type="character" w:styleId="EndnoteCharacters">
    <w:name w:val="Endnote Characters"/>
    <w:qFormat/>
    <w:rPr/>
  </w:style>
  <w:style w:type="character" w:styleId="Ninguno">
    <w:name w:val="Ninguno"/>
    <w:qFormat/>
    <w:rPr>
      <w:lang w:val="en-US"/>
    </w:rPr>
  </w:style>
  <w:style w:type="character" w:styleId="Textooriginal">
    <w:name w:val="Texto original"/>
    <w:qFormat/>
    <w:rPr>
      <w:rFonts w:ascii="Liberation Mono" w:hAnsi="Liberation Mono" w:eastAsia="Liberation Mono" w:cs="Liberation Mono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Ttulo">
    <w:name w:val="Título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Ndice">
    <w:name w:val="Índice"/>
    <w:basedOn w:val="Normal"/>
    <w:qFormat/>
    <w:pPr>
      <w:suppressLineNumbers/>
    </w:pPr>
    <w:rPr>
      <w:rFonts w:cs="Noto Sans Devanagari"/>
    </w:rPr>
  </w:style>
  <w:style w:type="paragraph" w:styleId="Cabeceraypie">
    <w:name w:val="Cabecera y pie"/>
    <w:basedOn w:val="Normal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EncabezadoCar"/>
    <w:uiPriority w:val="99"/>
    <w:unhideWhenUsed/>
    <w:rsid w:val="00a938e0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PiedepginaCar"/>
    <w:uiPriority w:val="99"/>
    <w:unhideWhenUsed/>
    <w:rsid w:val="00a938e0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bf3531"/>
    <w:pPr>
      <w:spacing w:before="0" w:after="160"/>
      <w:ind w:left="720" w:hanging="0"/>
      <w:contextualSpacing/>
    </w:pPr>
    <w:rPr/>
  </w:style>
  <w:style w:type="paragraph" w:styleId="BalloonText">
    <w:name w:val="Balloon Text"/>
    <w:basedOn w:val="Normal"/>
    <w:link w:val="TextodegloboCar"/>
    <w:uiPriority w:val="99"/>
    <w:semiHidden/>
    <w:unhideWhenUsed/>
    <w:qFormat/>
    <w:rsid w:val="00bf3531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Annotationtext">
    <w:name w:val="annotation text"/>
    <w:basedOn w:val="Normal"/>
    <w:link w:val="TextocomentarioCar"/>
    <w:uiPriority w:val="99"/>
    <w:semiHidden/>
    <w:unhideWhenUsed/>
    <w:qFormat/>
    <w:rsid w:val="004c72f0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AsuntodelcomentarioCar"/>
    <w:uiPriority w:val="99"/>
    <w:semiHidden/>
    <w:unhideWhenUsed/>
    <w:qFormat/>
    <w:rsid w:val="004c72f0"/>
    <w:pPr/>
    <w:rPr>
      <w:b/>
      <w:bCs/>
    </w:rPr>
  </w:style>
  <w:style w:type="paragraph" w:styleId="Footnote">
    <w:name w:val="Footnote Text"/>
    <w:basedOn w:val="Normal"/>
    <w:link w:val="TextonotapieCar"/>
    <w:uiPriority w:val="99"/>
    <w:semiHidden/>
    <w:unhideWhenUsed/>
    <w:rsid w:val="00b358be"/>
    <w:pPr>
      <w:spacing w:lineRule="auto" w:line="240" w:before="0" w:after="0"/>
    </w:pPr>
    <w:rPr>
      <w:sz w:val="20"/>
      <w:szCs w:val="20"/>
    </w:rPr>
  </w:style>
  <w:style w:type="paragraph" w:styleId="Contenidodelatabla">
    <w:name w:val="Contenido de la tabla"/>
    <w:basedOn w:val="Normal"/>
    <w:qFormat/>
    <w:pPr>
      <w:suppressLineNumbers/>
    </w:pPr>
    <w:rPr/>
  </w:style>
  <w:style w:type="paragraph" w:styleId="Ttulodelatabla">
    <w:name w:val="Título de la tabla"/>
    <w:basedOn w:val="Contenidodelatabla"/>
    <w:qFormat/>
    <w:pPr>
      <w:suppressLineNumbers/>
      <w:jc w:val="center"/>
    </w:pPr>
    <w:rPr>
      <w:b/>
      <w:bCs/>
    </w:rPr>
  </w:style>
  <w:style w:type="paragraph" w:styleId="Textopreformateado">
    <w:name w:val="Texto preformateado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aconcuadrcula">
    <w:name w:val="Table Grid"/>
    <w:basedOn w:val="Tablanormal"/>
    <w:uiPriority w:val="39"/>
    <w:rsid w:val="0032206e"/>
    <w:pPr>
      <w:spacing w:after="0" w:line="240" w:lineRule="auto"/>
    </w:pPr>
    <w:rPr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google.es/" TargetMode="External"/><Relationship Id="rId3" Type="http://schemas.openxmlformats.org/officeDocument/2006/relationships/image" Target="media/image1.png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header" Target="header2.xml"/><Relationship Id="rId7" Type="http://schemas.openxmlformats.org/officeDocument/2006/relationships/footer" Target="footer2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hyperlink" Target="https://www.unia.es/estudios-y-acceso/oferta-academica/masteres-oficiales/master-oficial-en-agroecologia-un-enfoque-para-la-sustentabilidad-rural-2" TargetMode="External"/><Relationship Id="rId12" Type="http://schemas.openxmlformats.org/officeDocument/2006/relationships/hyperlink" Target="https://www.uco.es/estudios/idep/agroecologia / https://www.upo.es/postgrado/Master-Oficial-Agroecologia-Un-Enfoque-de-Transformacion-Sustentable-de-los-Sistemas-Agroalimentarios/" TargetMode="External"/></Relationships>
</file>

<file path=word/_rels/header2.xml.rels><?xml version='1.0' encoding='UTF-8' standalone='yes'?>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4109</TotalTime>
  <Application>LibreOffice/6.4.7.2$Linux_X86_64 LibreOffice_project/40$Build-2</Application>
  <Pages>5</Pages>
  <Words>431</Words>
  <Characters>3887</Characters>
  <CharactersWithSpaces>4203</CharactersWithSpaces>
  <Paragraphs>118</Paragraphs>
  <Company>Universidad Internacional de Andalucía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2020-06-24T06:47:00Z</dcterms:created>
  <dc:creator>A.DeArriba</dc:creator>
  <dc:description/>
  <dc:language>es-ES</dc:language>
  <cp:lastModifiedBy/>
  <cp:lastPrinted>2019-03-29T12:33:00Z</cp:lastPrinted>
  <dcterms:modified xsi:type="dcterms:W3CDTF">2025-01-17T10:45:17Z</dcterms:modified>
  <cp:revision>242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Universidad Internacional de Andalucía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