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9E" w:rsidRDefault="0067489E">
      <w:pPr>
        <w:rPr>
          <w:rFonts w:ascii="Calibri" w:hAnsi="Calibri" w:cs="Calibri"/>
          <w:sz w:val="48"/>
          <w:szCs w:val="48"/>
        </w:rPr>
      </w:pPr>
    </w:p>
    <w:p w:rsidR="0067489E" w:rsidRDefault="0067489E">
      <w:pPr>
        <w:pStyle w:val="Heading1"/>
        <w:tabs>
          <w:tab w:val="left" w:pos="0"/>
        </w:tabs>
        <w:rPr>
          <w:rFonts w:ascii="Calibri" w:hAnsi="Calibri" w:cs="Calibri"/>
          <w:sz w:val="48"/>
          <w:szCs w:val="48"/>
        </w:rPr>
      </w:pPr>
    </w:p>
    <w:p w:rsidR="0067489E" w:rsidRDefault="0067489E">
      <w:pPr>
        <w:pStyle w:val="Heading1"/>
        <w:tabs>
          <w:tab w:val="left" w:pos="0"/>
        </w:tabs>
        <w:rPr>
          <w:rFonts w:ascii="Calibri" w:hAnsi="Calibri" w:cs="Calibri"/>
          <w:sz w:val="48"/>
          <w:szCs w:val="48"/>
        </w:rPr>
      </w:pPr>
    </w:p>
    <w:p w:rsidR="0067489E" w:rsidRDefault="00475D39">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H – Ecological Economics</w:t>
        </w:r>
      </w:hyperlink>
    </w:p>
    <w:p w:rsidR="0067489E" w:rsidRDefault="0067489E">
      <w:pPr>
        <w:tabs>
          <w:tab w:val="left" w:pos="0"/>
        </w:tabs>
        <w:rPr>
          <w:rFonts w:ascii="Calibri" w:hAnsi="Calibri" w:cs="Calibri"/>
          <w:sz w:val="48"/>
          <w:szCs w:val="48"/>
        </w:rPr>
      </w:pPr>
    </w:p>
    <w:p w:rsidR="0067489E" w:rsidRDefault="0067489E">
      <w:pPr>
        <w:rPr>
          <w:rFonts w:ascii="Calibri" w:hAnsi="Calibri" w:cs="Calibri"/>
          <w:sz w:val="32"/>
          <w:szCs w:val="32"/>
        </w:rPr>
      </w:pPr>
    </w:p>
    <w:p w:rsidR="0067489E" w:rsidRDefault="00475D39">
      <w:pPr>
        <w:suppressLineNumbers/>
        <w:spacing w:after="0" w:line="240" w:lineRule="auto"/>
        <w:jc w:val="center"/>
        <w:textAlignment w:val="baseline"/>
      </w:pPr>
      <w:r>
        <w:rPr>
          <w:rFonts w:eastAsia="Calibri" w:cstheme="minorHAnsi"/>
          <w:color w:val="00000A"/>
          <w:kern w:val="2"/>
        </w:rPr>
        <w:t>Ecological Economics</w:t>
      </w:r>
    </w:p>
    <w:p w:rsidR="0067489E" w:rsidRDefault="0067489E">
      <w:pPr>
        <w:suppressLineNumbers/>
        <w:spacing w:after="0" w:line="240" w:lineRule="auto"/>
        <w:jc w:val="center"/>
        <w:textAlignment w:val="baseline"/>
        <w:rPr>
          <w:rFonts w:ascii="Calibri" w:hAnsi="Calibri" w:cs="Calibri"/>
          <w:sz w:val="32"/>
          <w:szCs w:val="32"/>
        </w:rPr>
      </w:pPr>
    </w:p>
    <w:p w:rsidR="0067489E" w:rsidRDefault="0067489E">
      <w:pPr>
        <w:pStyle w:val="Heading1"/>
        <w:tabs>
          <w:tab w:val="left" w:pos="0"/>
        </w:tabs>
        <w:rPr>
          <w:rFonts w:ascii="Calibri" w:hAnsi="Calibri" w:cs="Calibri"/>
          <w:color w:val="FF6600"/>
          <w:sz w:val="48"/>
          <w:szCs w:val="48"/>
        </w:rPr>
      </w:pPr>
    </w:p>
    <w:p w:rsidR="0067489E" w:rsidRDefault="00475D39">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67489E" w:rsidRDefault="0067489E">
      <w:pPr>
        <w:tabs>
          <w:tab w:val="left" w:pos="0"/>
        </w:tabs>
        <w:rPr>
          <w:rFonts w:ascii="Calibri" w:hAnsi="Calibri" w:cs="Calibri"/>
          <w:color w:val="70AD47"/>
          <w:sz w:val="48"/>
          <w:szCs w:val="48"/>
        </w:rPr>
      </w:pPr>
    </w:p>
    <w:p w:rsidR="0067489E" w:rsidRDefault="00475D39">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67489E" w:rsidRDefault="0067489E">
      <w:pPr>
        <w:spacing w:before="480" w:line="312" w:lineRule="auto"/>
        <w:ind w:left="360"/>
        <w:jc w:val="center"/>
        <w:rPr>
          <w:rFonts w:cstheme="minorHAnsi"/>
          <w:b/>
          <w:sz w:val="24"/>
          <w:szCs w:val="24"/>
        </w:rPr>
      </w:pPr>
    </w:p>
    <w:p w:rsidR="0067489E" w:rsidRDefault="0067489E">
      <w:pPr>
        <w:spacing w:before="480" w:line="312" w:lineRule="auto"/>
        <w:ind w:left="360"/>
        <w:jc w:val="center"/>
        <w:rPr>
          <w:rFonts w:cstheme="minorHAnsi"/>
          <w:b/>
          <w:sz w:val="24"/>
          <w:szCs w:val="24"/>
        </w:rPr>
      </w:pPr>
    </w:p>
    <w:p w:rsidR="0067489E" w:rsidRDefault="0067489E">
      <w:pPr>
        <w:spacing w:before="480" w:line="312" w:lineRule="auto"/>
        <w:ind w:left="360"/>
        <w:jc w:val="center"/>
        <w:rPr>
          <w:rFonts w:cstheme="minorHAnsi"/>
          <w:b/>
          <w:sz w:val="24"/>
          <w:szCs w:val="24"/>
        </w:rPr>
      </w:pPr>
    </w:p>
    <w:p w:rsidR="0067489E" w:rsidRDefault="0067489E">
      <w:pPr>
        <w:spacing w:before="480" w:line="312" w:lineRule="auto"/>
        <w:ind w:left="360"/>
        <w:jc w:val="center"/>
        <w:rPr>
          <w:rFonts w:cstheme="minorHAnsi"/>
          <w:b/>
          <w:sz w:val="24"/>
          <w:szCs w:val="24"/>
        </w:rPr>
      </w:pPr>
    </w:p>
    <w:p w:rsidR="0067489E" w:rsidRDefault="0067489E">
      <w:pPr>
        <w:spacing w:before="480" w:line="312" w:lineRule="auto"/>
        <w:ind w:left="360"/>
        <w:jc w:val="center"/>
        <w:rPr>
          <w:rFonts w:cstheme="minorHAnsi"/>
          <w:b/>
          <w:sz w:val="24"/>
          <w:szCs w:val="24"/>
        </w:rPr>
      </w:pPr>
    </w:p>
    <w:p w:rsidR="0067489E" w:rsidRDefault="0067489E">
      <w:pPr>
        <w:spacing w:before="480" w:line="312" w:lineRule="auto"/>
        <w:ind w:left="360"/>
        <w:jc w:val="center"/>
        <w:rPr>
          <w:rFonts w:cstheme="minorHAnsi"/>
          <w:b/>
          <w:sz w:val="24"/>
          <w:szCs w:val="24"/>
        </w:rPr>
      </w:pPr>
    </w:p>
    <w:p w:rsidR="0067489E" w:rsidRDefault="00475D39">
      <w:pPr>
        <w:spacing w:before="480" w:line="312" w:lineRule="auto"/>
        <w:jc w:val="center"/>
        <w:rPr>
          <w:rFonts w:cstheme="minorHAnsi"/>
          <w:b/>
          <w:sz w:val="24"/>
          <w:szCs w:val="24"/>
        </w:rPr>
      </w:pPr>
      <w:r>
        <w:rPr>
          <w:rFonts w:eastAsia="Arial" w:cstheme="minorHAnsi"/>
          <w:b/>
          <w:sz w:val="24"/>
          <w:szCs w:val="24"/>
        </w:rPr>
        <w:lastRenderedPageBreak/>
        <w:t>INSTRUCTIONS FOR PREPARING AND PROCESSING COURSE GUIDES</w:t>
      </w:r>
    </w:p>
    <w:p w:rsidR="0067489E" w:rsidRDefault="0067489E">
      <w:pPr>
        <w:pStyle w:val="ListParagraph"/>
        <w:spacing w:before="120" w:after="120" w:line="312" w:lineRule="auto"/>
        <w:ind w:left="360"/>
        <w:rPr>
          <w:rFonts w:eastAsia="Arial" w:cstheme="minorHAnsi"/>
        </w:rPr>
      </w:pPr>
    </w:p>
    <w:p w:rsidR="0067489E" w:rsidRDefault="0067489E">
      <w:pPr>
        <w:pStyle w:val="ListParagraph"/>
        <w:spacing w:before="120" w:after="120" w:line="312" w:lineRule="auto"/>
        <w:ind w:left="360"/>
        <w:rPr>
          <w:rFonts w:ascii="Calibri" w:hAnsi="Calibri" w:cs="Calibri"/>
          <w:color w:val="70AD47"/>
          <w:sz w:val="48"/>
          <w:szCs w:val="48"/>
        </w:rPr>
        <w:sectPr w:rsidR="0067489E">
          <w:headerReference w:type="default" r:id="rId8"/>
          <w:footerReference w:type="default" r:id="rId9"/>
          <w:pgSz w:w="11906" w:h="16838"/>
          <w:pgMar w:top="1717" w:right="1701" w:bottom="1417" w:left="1701" w:header="1417" w:footer="708" w:gutter="0"/>
          <w:cols w:space="720"/>
          <w:formProt w:val="0"/>
          <w:docGrid w:linePitch="360" w:charSpace="4096"/>
        </w:sect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67489E" w:rsidTr="00D13A58">
        <w:tc>
          <w:tcPr>
            <w:tcW w:w="2446" w:type="dxa"/>
            <w:tcBorders>
              <w:top w:val="single" w:sz="4" w:space="0" w:color="000000"/>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lastRenderedPageBreak/>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67489E" w:rsidTr="00D13A58">
        <w:tc>
          <w:tcPr>
            <w:tcW w:w="2446" w:type="dxa"/>
            <w:tcBorders>
              <w:top w:val="single" w:sz="4" w:space="0" w:color="000000"/>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67489E" w:rsidTr="00D13A58">
        <w:tc>
          <w:tcPr>
            <w:tcW w:w="2446" w:type="dxa"/>
            <w:tcBorders>
              <w:top w:val="single" w:sz="4" w:space="0" w:color="000000"/>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pPr>
            <w:r>
              <w:rPr>
                <w:rFonts w:eastAsia="Calibri" w:cstheme="minorHAnsi"/>
                <w:color w:val="00000A"/>
                <w:kern w:val="2"/>
              </w:rPr>
              <w:t>Ecological Economics</w:t>
            </w:r>
          </w:p>
          <w:p w:rsidR="0067489E" w:rsidRDefault="0067489E">
            <w:pPr>
              <w:widowControl w:val="0"/>
              <w:suppressLineNumbers/>
              <w:spacing w:after="0" w:line="240" w:lineRule="auto"/>
              <w:contextualSpacing/>
              <w:textAlignment w:val="baseline"/>
            </w:pP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H - Ecological Economics</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 to 14 March 2025</w:t>
            </w:r>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67489E" w:rsidTr="00D13A58">
        <w:trPr>
          <w:trHeight w:val="704"/>
        </w:trPr>
        <w:tc>
          <w:tcPr>
            <w:tcW w:w="2446" w:type="dxa"/>
            <w:tcBorders>
              <w:left w:val="single" w:sz="4" w:space="0" w:color="000000"/>
              <w:bottom w:val="single" w:sz="4" w:space="0" w:color="000000"/>
            </w:tcBorders>
            <w:shd w:val="clear" w:color="auto" w:fill="92D050"/>
            <w:vAlign w:val="center"/>
          </w:tcPr>
          <w:p w:rsidR="0067489E" w:rsidRDefault="00475D39">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67489E" w:rsidTr="00D13A58">
        <w:tc>
          <w:tcPr>
            <w:tcW w:w="2446"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67489E" w:rsidRDefault="00475D39">
            <w:pPr>
              <w:widowControl w:val="0"/>
              <w:spacing w:after="0" w:line="240" w:lineRule="auto"/>
              <w:contextualSpacing/>
            </w:pPr>
            <w:r>
              <w:rPr>
                <w:rFonts w:eastAsia="Calibri" w:cstheme="minorHAnsi"/>
                <w:color w:val="00000A"/>
              </w:rPr>
              <w:t>Spanish</w:t>
            </w:r>
          </w:p>
          <w:p w:rsidR="0067489E" w:rsidRDefault="0067489E">
            <w:pPr>
              <w:widowControl w:val="0"/>
              <w:spacing w:after="0" w:line="240" w:lineRule="auto"/>
              <w:contextualSpacing/>
            </w:pPr>
          </w:p>
        </w:tc>
      </w:tr>
    </w:tbl>
    <w:p w:rsidR="0067489E" w:rsidRPr="00D13A58" w:rsidRDefault="0067489E">
      <w:pPr>
        <w:rPr>
          <w:sz w:val="16"/>
          <w:szCs w:val="16"/>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67489E">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7489E" w:rsidRDefault="00475D3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67489E">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67489E">
        <w:tc>
          <w:tcPr>
            <w:tcW w:w="3714" w:type="dxa"/>
            <w:tcBorders>
              <w:left w:val="single" w:sz="4" w:space="0" w:color="000000"/>
              <w:bottom w:val="single" w:sz="4" w:space="0" w:color="000000"/>
              <w:right w:val="single" w:sz="4" w:space="0" w:color="000000"/>
            </w:tcBorders>
            <w:shd w:val="clear" w:color="auto" w:fill="FFFFFF" w:themeFill="background1"/>
          </w:tcPr>
          <w:p w:rsidR="0067489E" w:rsidRDefault="00475D39">
            <w:pPr>
              <w:widowControl w:val="0"/>
              <w:snapToGrid w:val="0"/>
              <w:spacing w:after="0" w:line="240" w:lineRule="auto"/>
              <w:contextualSpacing/>
            </w:pPr>
            <w:r>
              <w:rPr>
                <w:rFonts w:eastAsia="Times New Roman" w:cstheme="minorHAnsi"/>
              </w:rPr>
              <w:t>Manuel Delgado Cabeza</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jc w:val="right"/>
            </w:pPr>
            <w:r>
              <w:rPr>
                <w:rFonts w:cstheme="minorHAnsi"/>
              </w:rPr>
              <w:t>UNIVERSITY OF SEVILLE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7489E" w:rsidRDefault="00475D39">
            <w:pPr>
              <w:widowControl w:val="0"/>
              <w:snapToGrid w:val="0"/>
              <w:spacing w:after="0" w:line="240" w:lineRule="auto"/>
              <w:contextualSpacing/>
              <w:jc w:val="right"/>
            </w:pPr>
            <w:r>
              <w:rPr>
                <w:rFonts w:cstheme="minorHAnsi"/>
              </w:rPr>
              <w:t>1.00</w:t>
            </w:r>
          </w:p>
        </w:tc>
      </w:tr>
    </w:tbl>
    <w:p w:rsidR="0067489E" w:rsidRPr="00D13A58" w:rsidRDefault="0067489E">
      <w:pPr>
        <w:rPr>
          <w:rFonts w:eastAsia="Arial" w:cstheme="minorHAnsi"/>
          <w:sz w:val="16"/>
          <w:szCs w:val="16"/>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67489E">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7489E" w:rsidRDefault="00475D39">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67489E">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67489E">
        <w:tc>
          <w:tcPr>
            <w:tcW w:w="3709" w:type="dxa"/>
            <w:tcBorders>
              <w:left w:val="single" w:sz="4" w:space="0" w:color="000000"/>
              <w:bottom w:val="single" w:sz="4" w:space="0" w:color="000000"/>
              <w:right w:val="single" w:sz="4" w:space="0" w:color="000000"/>
            </w:tcBorders>
            <w:shd w:val="clear" w:color="auto" w:fill="FFFFFF" w:themeFill="background1"/>
          </w:tcPr>
          <w:p w:rsidR="0067489E" w:rsidRDefault="00475D39">
            <w:pPr>
              <w:widowControl w:val="0"/>
              <w:snapToGrid w:val="0"/>
              <w:spacing w:after="0" w:line="240" w:lineRule="auto"/>
              <w:contextualSpacing/>
            </w:pPr>
            <w:r>
              <w:rPr>
                <w:rFonts w:eastAsia="Times New Roman" w:cstheme="minorHAnsi"/>
              </w:rPr>
              <w:t>Manuel Delgado Cabeza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jc w:val="right"/>
            </w:pPr>
            <w:r>
              <w:rPr>
                <w:rFonts w:cstheme="minorHAnsi"/>
              </w:rPr>
              <w:t>UNIVERSITY OF SEVILLE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7489E" w:rsidRDefault="00475D39">
            <w:pPr>
              <w:widowControl w:val="0"/>
              <w:snapToGrid w:val="0"/>
              <w:spacing w:after="0" w:line="240" w:lineRule="auto"/>
              <w:contextualSpacing/>
              <w:jc w:val="right"/>
            </w:pPr>
            <w:r>
              <w:rPr>
                <w:rFonts w:cstheme="minorHAnsi"/>
              </w:rPr>
              <w:t>1.00</w:t>
            </w:r>
          </w:p>
        </w:tc>
      </w:tr>
      <w:tr w:rsidR="0067489E">
        <w:tc>
          <w:tcPr>
            <w:tcW w:w="3709" w:type="dxa"/>
            <w:tcBorders>
              <w:left w:val="single" w:sz="4" w:space="0" w:color="000000"/>
              <w:bottom w:val="single" w:sz="4" w:space="0" w:color="000000"/>
              <w:right w:val="single" w:sz="4" w:space="0" w:color="000000"/>
            </w:tcBorders>
            <w:shd w:val="clear" w:color="auto" w:fill="FFFFFF" w:themeFill="background1"/>
          </w:tcPr>
          <w:p w:rsidR="0067489E" w:rsidRDefault="00475D39">
            <w:pPr>
              <w:widowControl w:val="0"/>
              <w:snapToGrid w:val="0"/>
              <w:spacing w:after="0" w:line="240" w:lineRule="auto"/>
              <w:contextualSpacing/>
            </w:pPr>
            <w:r>
              <w:rPr>
                <w:rFonts w:eastAsia="Times New Roman" w:cstheme="minorHAnsi"/>
              </w:rPr>
              <w:t>José Manuel Naredo Pérez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jc w:val="right"/>
            </w:pPr>
            <w:r>
              <w:rPr>
                <w:rFonts w:cstheme="minorHAnsi"/>
              </w:rPr>
              <w:t>POLYTECHNIC UNIVERSITY OF MADRID</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7489E" w:rsidRDefault="00475D39">
            <w:pPr>
              <w:widowControl w:val="0"/>
              <w:snapToGrid w:val="0"/>
              <w:spacing w:after="0" w:line="240" w:lineRule="auto"/>
              <w:contextualSpacing/>
              <w:jc w:val="right"/>
            </w:pPr>
            <w:r>
              <w:rPr>
                <w:rFonts w:cstheme="minorHAnsi"/>
              </w:rPr>
              <w:t>1.00</w:t>
            </w:r>
          </w:p>
        </w:tc>
      </w:tr>
      <w:tr w:rsidR="0067489E">
        <w:tc>
          <w:tcPr>
            <w:tcW w:w="3709" w:type="dxa"/>
            <w:tcBorders>
              <w:left w:val="single" w:sz="4" w:space="0" w:color="000000"/>
              <w:bottom w:val="single" w:sz="4" w:space="0" w:color="000000"/>
              <w:right w:val="single" w:sz="4" w:space="0" w:color="000000"/>
            </w:tcBorders>
            <w:shd w:val="clear" w:color="auto" w:fill="FFFFFF" w:themeFill="background1"/>
          </w:tcPr>
          <w:p w:rsidR="0067489E" w:rsidRDefault="00475D39">
            <w:pPr>
              <w:widowControl w:val="0"/>
              <w:snapToGrid w:val="0"/>
              <w:spacing w:after="0" w:line="240" w:lineRule="auto"/>
              <w:contextualSpacing/>
            </w:pPr>
            <w:r>
              <w:rPr>
                <w:rFonts w:eastAsia="Times New Roman" w:cstheme="minorHAnsi"/>
              </w:rPr>
              <w:t>Esther Velázquez Alonso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7489E" w:rsidRDefault="00475D39">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7489E" w:rsidRDefault="00475D39">
            <w:pPr>
              <w:widowControl w:val="0"/>
              <w:snapToGrid w:val="0"/>
              <w:spacing w:after="0" w:line="240" w:lineRule="auto"/>
              <w:contextualSpacing/>
              <w:jc w:val="right"/>
            </w:pPr>
            <w:r>
              <w:rPr>
                <w:rFonts w:cstheme="minorHAnsi"/>
              </w:rPr>
              <w:t>1.00</w:t>
            </w:r>
          </w:p>
        </w:tc>
      </w:tr>
      <w:tr w:rsidR="0067489E">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67489E">
        <w:tc>
          <w:tcPr>
            <w:tcW w:w="9806" w:type="dxa"/>
            <w:gridSpan w:val="4"/>
            <w:tcBorders>
              <w:left w:val="single" w:sz="4" w:space="0" w:color="000000"/>
              <w:bottom w:val="single" w:sz="4" w:space="0" w:color="000000"/>
              <w:right w:val="single" w:sz="4" w:space="0" w:color="000000"/>
            </w:tcBorders>
            <w:shd w:val="clear" w:color="auto" w:fill="FFFFFF" w:themeFill="background1"/>
          </w:tcPr>
          <w:p w:rsidR="0067489E" w:rsidRDefault="00475D39">
            <w:pPr>
              <w:widowControl w:val="0"/>
              <w:contextualSpacing/>
              <w:rPr>
                <w:rFonts w:eastAsia="NSimSun" w:cstheme="minorHAnsi"/>
                <w:b/>
                <w:color w:val="000000"/>
                <w:kern w:val="2"/>
                <w:lang w:eastAsia="zh-CN" w:bidi="hi-IN"/>
              </w:rPr>
            </w:pPr>
            <w:r>
              <w:t xml:space="preserve">Tutorials/seminars: Wednesday and Thursday afternoons: 5pm-7.30pm </w:t>
            </w:r>
            <w:r>
              <w:br/>
            </w:r>
            <w:r>
              <w:br/>
            </w:r>
            <w:r>
              <w:t>Teaching staff office</w:t>
            </w:r>
          </w:p>
        </w:tc>
      </w:tr>
    </w:tbl>
    <w:p w:rsidR="0067489E" w:rsidRDefault="0067489E">
      <w:pPr>
        <w:widowControl w:val="0"/>
        <w:ind w:hanging="567"/>
        <w:contextualSpacing/>
        <w:rPr>
          <w:rFonts w:eastAsia="NSimSun" w:cstheme="minorHAnsi"/>
          <w:b/>
          <w:color w:val="000000"/>
          <w:kern w:val="2"/>
          <w:lang w:eastAsia="zh-CN" w:bidi="hi-IN"/>
        </w:rPr>
      </w:pPr>
    </w:p>
    <w:p w:rsidR="0067489E" w:rsidRDefault="0067489E">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67489E">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67489E">
        <w:tc>
          <w:tcPr>
            <w:tcW w:w="3682" w:type="dxa"/>
            <w:tcBorders>
              <w:left w:val="single" w:sz="4" w:space="0" w:color="000000"/>
              <w:bottom w:val="single" w:sz="4" w:space="0" w:color="000000"/>
            </w:tcBorders>
            <w:shd w:val="clear" w:color="auto" w:fill="92D050"/>
          </w:tcPr>
          <w:p w:rsidR="0067489E" w:rsidRDefault="00475D39">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the functioning of agroecosystems and their application as a basis for the design of sustainable agricultural syst</w:t>
            </w:r>
            <w:r>
              <w:t>ems.</w:t>
            </w:r>
            <w:r>
              <w:br/>
            </w:r>
            <w:r>
              <w:t>C05 Knows the basic principles of economic analysis applied to agricultural and food activity from the point of view of ecological economics</w:t>
            </w:r>
            <w:r>
              <w:br/>
            </w:r>
            <w:r>
              <w:t>C06 Understand the fundamentals of the relationship between biodiversity and cultural diversity, applied to th</w:t>
            </w:r>
            <w:r>
              <w:t>e management of agroecosystems and food systems.</w:t>
            </w:r>
            <w:r>
              <w:br/>
            </w:r>
            <w:r>
              <w:t>C7 Understand the basic principles of political-institutional analysis applied to agricultural and food activities from the perspective of political ecology, with special emphasis on the role of the state an</w:t>
            </w:r>
            <w:r>
              <w:t>d social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w:t>
            </w:r>
            <w:r>
              <w:t xml:space="preserve"> principles that should guide the construction of sustainable agri-food systems.</w:t>
            </w:r>
            <w:r>
              <w:br/>
            </w:r>
            <w:r>
              <w:t xml:space="preserve">C10 Understand the different feminist perspectives and their application to the analysis of agri-food systems. </w:t>
            </w:r>
            <w:r>
              <w:br/>
            </w:r>
            <w:r>
              <w:br/>
            </w:r>
          </w:p>
        </w:tc>
      </w:tr>
      <w:tr w:rsidR="0067489E">
        <w:tc>
          <w:tcPr>
            <w:tcW w:w="3682" w:type="dxa"/>
            <w:tcBorders>
              <w:left w:val="single" w:sz="4" w:space="0" w:color="000000"/>
              <w:bottom w:val="single" w:sz="4" w:space="0" w:color="000000"/>
            </w:tcBorders>
            <w:shd w:val="clear" w:color="auto" w:fill="92D050"/>
          </w:tcPr>
          <w:p w:rsidR="0067489E" w:rsidRDefault="00475D39">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w:t>
            </w:r>
            <w:r>
              <w:t>hesise this content to identify key concepts.</w:t>
            </w:r>
            <w:r>
              <w:br/>
            </w:r>
            <w:r>
              <w:t>COM02 Be able to develop adequate written and oral communication, the orderly presentation of ideas, logical and argumentative justification, as well as relate general concepts to others of a more practical nat</w:t>
            </w:r>
            <w:r>
              <w:t>ure.</w:t>
            </w:r>
            <w:r>
              <w:br/>
            </w:r>
            <w:r>
              <w:t>COM03 Ability to make an ethical commitment to the sustainable transformation of the food system, as advocated by agroecology.</w:t>
            </w:r>
            <w:r>
              <w:br/>
            </w:r>
            <w:r>
              <w:t>COM04 Integrate social, economic, cultural, agronomic and ecological aspects into the design of the agroecological transitio</w:t>
            </w:r>
            <w:r>
              <w:t>n.</w:t>
            </w:r>
            <w:r>
              <w:br/>
            </w:r>
            <w:r>
              <w:t>COM05 Identify the reproduction of gender inequalities in the agroecological social reality in the field of agri-food systems.</w:t>
            </w:r>
            <w:r>
              <w:br/>
            </w:r>
            <w:r>
              <w:t>COM06 Reflect self-critically on power relations in research, incorporating critical reflections on authoritarian relations an</w:t>
            </w:r>
            <w:r>
              <w:t xml:space="preserve">d </w:t>
            </w:r>
            <w:r>
              <w:lastRenderedPageBreak/>
              <w:t>patriarchy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67489E">
        <w:tc>
          <w:tcPr>
            <w:tcW w:w="3682" w:type="dxa"/>
            <w:tcBorders>
              <w:left w:val="single" w:sz="4" w:space="0" w:color="000000"/>
              <w:bottom w:val="single" w:sz="4" w:space="0" w:color="000000"/>
            </w:tcBorders>
            <w:shd w:val="clear" w:color="auto" w:fill="92D050"/>
          </w:tcPr>
          <w:p w:rsidR="0067489E" w:rsidRDefault="00475D39">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w:t>
            </w:r>
            <w:r>
              <w:t>eoretical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Diagnoses and methodologically solves agroecological problems and prepares reports and forecasts for the implementation of sustainable practices in agroecosystems and agri-food systems.</w:t>
            </w:r>
            <w:r>
              <w:br/>
            </w:r>
            <w:r>
              <w:t>HD08 Carries out fieldwork in accordance</w:t>
            </w:r>
            <w:r>
              <w:t xml:space="preserve"> with good design and correct application of participatory action research techniques. </w:t>
            </w:r>
            <w:r>
              <w:br/>
            </w:r>
            <w:r>
              <w:br/>
            </w:r>
          </w:p>
        </w:tc>
      </w:tr>
    </w:tbl>
    <w:p w:rsidR="0067489E" w:rsidRDefault="0067489E">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67489E">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67489E">
        <w:tc>
          <w:tcPr>
            <w:tcW w:w="9806" w:type="dxa"/>
            <w:gridSpan w:val="5"/>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br/>
            </w:r>
            <w:r>
              <w:t xml:space="preserve">    1.   Theoretical and historical approaches to economy-environment relations.  </w:t>
            </w:r>
            <w:r>
              <w:br/>
            </w:r>
            <w:r>
              <w:br/>
            </w:r>
            <w:r>
              <w:t xml:space="preserve">    2.   </w:t>
            </w:r>
            <w:r>
              <w:t xml:space="preserve">Environmental economics: valuation methods.  </w:t>
            </w:r>
            <w:r>
              <w:br/>
            </w:r>
            <w:r>
              <w:br/>
            </w:r>
            <w:r>
              <w:t xml:space="preserve">    3.   Ecological economics: principles and instruments.  </w:t>
            </w:r>
            <w:r>
              <w:br/>
            </w:r>
            <w:r>
              <w:br/>
            </w:r>
            <w:r>
              <w:t xml:space="preserve">    4.   Economic-ecological sustainability indicators.  </w:t>
            </w:r>
            <w:r>
              <w:br/>
            </w:r>
            <w:r>
              <w:br/>
            </w:r>
            <w:r>
              <w:t xml:space="preserve">    5.   The metabolism of economic systems: agricultural, urban and industrial  </w:t>
            </w:r>
            <w:r>
              <w:br/>
            </w:r>
            <w:r>
              <w:lastRenderedPageBreak/>
              <w:br/>
            </w:r>
            <w:r>
              <w:t xml:space="preserve">    6</w:t>
            </w:r>
            <w:r>
              <w:t xml:space="preserve">.   Economic-ecological criteria and instruments for resource management: water and energy.  </w:t>
            </w:r>
            <w:r>
              <w:br/>
            </w:r>
            <w:r>
              <w:br/>
            </w:r>
            <w:r>
              <w:t xml:space="preserve">    7.   The institutional framework and the process of analysis and decision-making in ecological economics.  </w:t>
            </w:r>
            <w:r>
              <w:br/>
            </w:r>
            <w:r>
              <w:br/>
            </w:r>
            <w:r>
              <w:br/>
            </w:r>
            <w:r>
              <w:t xml:space="preserve">Practical classes:  </w:t>
            </w:r>
            <w:r>
              <w:br/>
            </w:r>
            <w:r>
              <w:br/>
            </w:r>
            <w:r>
              <w:br/>
            </w:r>
            <w:r>
              <w:t xml:space="preserve">    1.   Selection of re</w:t>
            </w:r>
            <w:r>
              <w:t xml:space="preserve">adings and general debate (and in small groups) on ecological and social limits to economic growth.  </w:t>
            </w:r>
            <w:r>
              <w:br/>
            </w:r>
            <w:r>
              <w:br/>
            </w:r>
            <w:r>
              <w:t xml:space="preserve">    2.   Specific applications of energy balances in agriculture.  </w:t>
            </w:r>
            <w:r>
              <w:br/>
            </w:r>
            <w:r>
              <w:br/>
            </w:r>
            <w:r>
              <w:t xml:space="preserve">    3.   Practical cases of decision-making based on multi-criteria analysis with sp</w:t>
            </w:r>
            <w:r>
              <w:t xml:space="preserve">ecial emphasis on agroecosystems. </w:t>
            </w:r>
            <w:r>
              <w:br/>
            </w:r>
            <w:r>
              <w:br/>
            </w:r>
            <w:r>
              <w:t xml:space="preserve">    4.   Analysis of practical cases on monetary valuation and payments for environmental services in agroecosystems.  </w:t>
            </w:r>
            <w:r>
              <w:br/>
            </w:r>
            <w:r>
              <w:br/>
            </w:r>
            <w:r>
              <w:br/>
            </w:r>
            <w:r>
              <w:rPr>
                <w:b/>
              </w:rPr>
              <w:t xml:space="preserve">Guided activities:  </w:t>
            </w:r>
            <w:r>
              <w:rPr>
                <w:b/>
              </w:rPr>
              <w:br/>
            </w:r>
            <w:r>
              <w:br/>
            </w:r>
            <w:r>
              <w:t xml:space="preserve">    •   </w:t>
            </w:r>
            <w:r>
              <w:br/>
              <w:t>Seminar: Each edition will select a controversial economic-ecologic</w:t>
            </w:r>
            <w:r>
              <w:t>al issue in which the ecological economics tools learned can be applied.</w:t>
            </w:r>
          </w:p>
          <w:p w:rsidR="0067489E" w:rsidRDefault="0067489E">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67489E" w:rsidRDefault="0067489E">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67489E">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67489E">
        <w:tc>
          <w:tcPr>
            <w:tcW w:w="9806" w:type="dxa"/>
            <w:gridSpan w:val="5"/>
            <w:tcBorders>
              <w:left w:val="single" w:sz="4" w:space="0" w:color="000000"/>
              <w:bottom w:val="single" w:sz="4" w:space="0" w:color="000000"/>
              <w:right w:val="single" w:sz="4" w:space="0" w:color="000000"/>
            </w:tcBorders>
            <w:shd w:val="clear" w:color="auto" w:fill="auto"/>
          </w:tcPr>
          <w:p w:rsidR="0067489E" w:rsidRDefault="0067489E">
            <w:pPr>
              <w:widowControl w:val="0"/>
              <w:suppressLineNumbers/>
              <w:spacing w:after="0" w:line="240" w:lineRule="auto"/>
              <w:contextualSpacing/>
              <w:textAlignment w:val="baseline"/>
              <w:rPr>
                <w:rFonts w:eastAsia="NSimSun" w:cstheme="minorHAnsi"/>
                <w:color w:val="000000"/>
                <w:kern w:val="2"/>
                <w:lang w:eastAsia="zh-CN" w:bidi="hi-IN"/>
              </w:rPr>
            </w:pPr>
          </w:p>
          <w:p w:rsidR="0067489E" w:rsidRDefault="0067489E">
            <w:pPr>
              <w:widowControl w:val="0"/>
              <w:suppressLineNumbers/>
              <w:spacing w:after="0" w:line="240" w:lineRule="auto"/>
              <w:contextualSpacing/>
              <w:textAlignment w:val="baseline"/>
              <w:rPr>
                <w:rFonts w:eastAsia="NSimSun" w:cstheme="minorHAnsi"/>
                <w:color w:val="000000"/>
                <w:kern w:val="2"/>
                <w:lang w:eastAsia="zh-CN" w:bidi="hi-IN"/>
              </w:rPr>
            </w:pPr>
          </w:p>
        </w:tc>
      </w:tr>
      <w:tr w:rsidR="0067489E">
        <w:tc>
          <w:tcPr>
            <w:tcW w:w="3009"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67489E" w:rsidRDefault="00475D39">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67489E" w:rsidRDefault="00475D39">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67489E">
        <w:tc>
          <w:tcPr>
            <w:tcW w:w="3009"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23</w:t>
            </w:r>
          </w:p>
        </w:tc>
      </w:tr>
      <w:tr w:rsidR="0067489E">
        <w:tc>
          <w:tcPr>
            <w:tcW w:w="3009"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w:t>
            </w:r>
          </w:p>
        </w:tc>
      </w:tr>
      <w:tr w:rsidR="0067489E">
        <w:tc>
          <w:tcPr>
            <w:tcW w:w="3009"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67489E" w:rsidRDefault="00475D39">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67489E" w:rsidRDefault="00475D39">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67489E">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67489E">
        <w:tc>
          <w:tcPr>
            <w:tcW w:w="9806" w:type="dxa"/>
            <w:gridSpan w:val="5"/>
            <w:tcBorders>
              <w:left w:val="single" w:sz="4" w:space="0" w:color="000000"/>
              <w:bottom w:val="single" w:sz="4" w:space="0" w:color="000000"/>
              <w:right w:val="single" w:sz="4" w:space="0" w:color="000000"/>
            </w:tcBorders>
            <w:shd w:val="clear" w:color="auto" w:fill="auto"/>
          </w:tcPr>
          <w:p w:rsidR="0067489E" w:rsidRDefault="00475D39">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lastRenderedPageBreak/>
              <w:t>These assignments must be submitted before the deadline, either by email to the module coordinator or by uploading a file as an assignment in</w:t>
            </w:r>
            <w:r>
              <w:t xml:space="preserve"> the corresponding section of the course on Moodle.</w:t>
            </w:r>
          </w:p>
        </w:tc>
      </w:tr>
      <w:tr w:rsidR="0067489E">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67489E" w:rsidRDefault="00475D39">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lastRenderedPageBreak/>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67489E">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67489E" w:rsidRDefault="00475D39">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489E" w:rsidRDefault="00475D39">
            <w:pPr>
              <w:widowControl w:val="0"/>
              <w:snapToGrid w:val="0"/>
              <w:spacing w:after="0" w:line="240" w:lineRule="auto"/>
              <w:contextualSpacing/>
              <w:jc w:val="right"/>
            </w:pPr>
            <w:r>
              <w:rPr>
                <w:rFonts w:cstheme="minorHAnsi"/>
              </w:rPr>
              <w:t>30%</w:t>
            </w:r>
          </w:p>
        </w:tc>
      </w:tr>
      <w:tr w:rsidR="0067489E">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67489E" w:rsidRDefault="00475D39">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489E" w:rsidRDefault="00475D39">
            <w:pPr>
              <w:widowControl w:val="0"/>
              <w:snapToGrid w:val="0"/>
              <w:spacing w:after="0" w:line="240" w:lineRule="auto"/>
              <w:contextualSpacing/>
              <w:jc w:val="right"/>
            </w:pPr>
            <w:r>
              <w:rPr>
                <w:rFonts w:cstheme="minorHAnsi"/>
              </w:rPr>
              <w:t>50</w:t>
            </w:r>
          </w:p>
        </w:tc>
      </w:tr>
      <w:tr w:rsidR="0067489E">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67489E" w:rsidRDefault="00475D39">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489E" w:rsidRDefault="00475D39">
            <w:pPr>
              <w:widowControl w:val="0"/>
              <w:snapToGrid w:val="0"/>
              <w:spacing w:after="0" w:line="240" w:lineRule="auto"/>
              <w:contextualSpacing/>
              <w:jc w:val="right"/>
            </w:pPr>
            <w:r>
              <w:rPr>
                <w:rFonts w:cstheme="minorHAnsi"/>
              </w:rPr>
              <w:t>20</w:t>
            </w:r>
          </w:p>
        </w:tc>
      </w:tr>
      <w:tr w:rsidR="0067489E">
        <w:tc>
          <w:tcPr>
            <w:tcW w:w="9806" w:type="dxa"/>
            <w:gridSpan w:val="5"/>
            <w:tcBorders>
              <w:left w:val="single" w:sz="4" w:space="0" w:color="000000"/>
              <w:bottom w:val="single" w:sz="4" w:space="0" w:color="000000"/>
              <w:right w:val="single" w:sz="4" w:space="0" w:color="000000"/>
            </w:tcBorders>
            <w:shd w:val="clear" w:color="auto" w:fill="CCCCCC"/>
          </w:tcPr>
          <w:p w:rsidR="0067489E" w:rsidRDefault="00475D3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67489E">
        <w:tc>
          <w:tcPr>
            <w:tcW w:w="9806" w:type="dxa"/>
            <w:gridSpan w:val="5"/>
            <w:tcBorders>
              <w:left w:val="single" w:sz="4" w:space="0" w:color="000000"/>
              <w:bottom w:val="single" w:sz="4" w:space="0" w:color="000000"/>
              <w:right w:val="single" w:sz="4" w:space="0" w:color="000000"/>
            </w:tcBorders>
          </w:tcPr>
          <w:p w:rsidR="0067489E" w:rsidRDefault="00475D39">
            <w:pPr>
              <w:widowControl w:val="0"/>
              <w:spacing w:after="0"/>
              <w:contextualSpacing/>
              <w:rPr>
                <w:rFonts w:eastAsia="NSimSun" w:cstheme="minorHAnsi"/>
                <w:b/>
                <w:color w:val="000000"/>
                <w:kern w:val="2"/>
                <w:sz w:val="24"/>
                <w:szCs w:val="24"/>
                <w:lang w:eastAsia="zh-CN" w:bidi="hi-IN"/>
              </w:rPr>
            </w:pPr>
            <w:r>
              <w:t xml:space="preserve">Lectures    </w:t>
            </w:r>
            <w:r>
              <w:br/>
            </w:r>
            <w:r>
              <w:t xml:space="preserve">Group work and/or group presentations    </w:t>
            </w:r>
            <w:r>
              <w:br/>
            </w:r>
            <w:r>
              <w:t>Discussions</w:t>
            </w:r>
            <w:r>
              <w:br/>
            </w:r>
            <w:r>
              <w:t>Case studies</w:t>
            </w:r>
            <w:r>
              <w:br/>
            </w:r>
            <w:r>
              <w:br/>
            </w:r>
          </w:p>
        </w:tc>
      </w:tr>
      <w:tr w:rsidR="0067489E">
        <w:tc>
          <w:tcPr>
            <w:tcW w:w="9806" w:type="dxa"/>
            <w:gridSpan w:val="5"/>
            <w:tcBorders>
              <w:left w:val="single" w:sz="4" w:space="0" w:color="000000"/>
              <w:bottom w:val="single" w:sz="4" w:space="0" w:color="000000"/>
              <w:right w:val="single" w:sz="4" w:space="0" w:color="000000"/>
            </w:tcBorders>
            <w:shd w:val="clear" w:color="auto" w:fill="CCCCCC"/>
          </w:tcPr>
          <w:p w:rsidR="0067489E" w:rsidRDefault="00475D39">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67489E">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67489E" w:rsidRDefault="00475D39">
            <w:pPr>
              <w:widowControl w:val="0"/>
              <w:spacing w:after="0"/>
              <w:contextualSpacing/>
              <w:rPr>
                <w:rFonts w:eastAsia="NSimSun" w:cstheme="minorHAnsi"/>
                <w:b/>
                <w:color w:val="000000"/>
                <w:kern w:val="2"/>
                <w:sz w:val="24"/>
                <w:szCs w:val="24"/>
                <w:lang w:eastAsia="zh-CN" w:bidi="hi-IN"/>
              </w:rPr>
            </w:pPr>
            <w:r>
              <w:t>Adriaanse, A., et al. (1997): Resource flows: the material basis of industrial economies, World Resources Institute, Wuppertal Institute, Netherland Ministry of Housing Spa</w:t>
            </w:r>
            <w:r>
              <w:t>tial Planning and Environment, National Institute of Environmental Studies.</w:t>
            </w:r>
            <w:r>
              <w:br/>
            </w:r>
            <w:r>
              <w:t>Aguilera, F. (2008): The new water economy, Madrid, Los Libros de la Catarata-CIP- Ecosocial.</w:t>
            </w:r>
            <w:r>
              <w:br/>
            </w:r>
            <w:r>
              <w:t>Aguilera, F. and V. Alcántara, (eds.), (1994): From environmental economics to ecologi</w:t>
            </w:r>
            <w:r>
              <w:t>cal economics, Barcelona Icaria.</w:t>
            </w:r>
            <w:r>
              <w:br/>
            </w:r>
            <w:r>
              <w:t>Aguilera, F., (ed). (2004): Quality of Democracy and Environmental Protection in the Canary Islands, Lanzarote, César Manrique Foundation.</w:t>
            </w:r>
            <w:r>
              <w:br/>
            </w:r>
            <w:r>
              <w:t>Ayres, R.U. and L.W. Ayres, (eds.), (2002): Handbook of Industrial Ecology, Cheltenh</w:t>
            </w:r>
            <w:r>
              <w:t>am, Edward Elgar.</w:t>
            </w:r>
            <w:r>
              <w:br/>
            </w:r>
            <w:r>
              <w:t>Azqueta, D, (2002): Introduction to Environmental Economics, Madrid, McGraw-Hill.</w:t>
            </w:r>
            <w:r>
              <w:br/>
            </w:r>
            <w:r>
              <w:t>Azqueta, D; A. Ferreiro, (eds.), (1994): Economic Analysis and Management of Natural Resources, Madrid, Alianza.</w:t>
            </w:r>
            <w:r>
              <w:br/>
            </w:r>
            <w:r>
              <w:t>Bermejo (2001): Sustainable Economy, Bilbao</w:t>
            </w:r>
            <w:r>
              <w:t>, Bakeaz.</w:t>
            </w:r>
            <w:r>
              <w:br/>
            </w:r>
            <w:r>
              <w:t>Carpintero, O, (1999): Between the Economy and Nature, Madrid, Los Libros de la Catarata.</w:t>
            </w:r>
            <w:r>
              <w:br/>
            </w:r>
            <w:r>
              <w:t>Carpintero, O. (2005): The Metabolism of the Spanish Economy: Natural Resources and Ecological Footprint (1955-2000), Lanzarote, César Manrique Foundation.</w:t>
            </w:r>
            <w:r>
              <w:br/>
            </w:r>
            <w:r>
              <w:t>Carpintero, O., (2006): The Bioeconomy of Georgescu-Roegen, Barcelona, Montesinos.</w:t>
            </w:r>
            <w:r>
              <w:br/>
            </w:r>
            <w:r>
              <w:t>CMAD (1987): Our Common Future, Madrid, Alianza.</w:t>
            </w:r>
            <w:r>
              <w:br/>
            </w:r>
            <w:r>
              <w:t>Common, M. and S. Stagl (2005): Ecological economics: An introduction, Cambridge University Press.</w:t>
            </w:r>
            <w:r>
              <w:br/>
            </w:r>
            <w:r>
              <w:t>Costanza, R., Ch. Perring</w:t>
            </w:r>
            <w:r>
              <w:t>s., C. Cleveland, (eds.), (1997): The Development of Ecological Economics, Cheltenham, Edward Elgar.</w:t>
            </w:r>
            <w:r>
              <w:br/>
            </w:r>
            <w:r>
              <w:t>Daly, H.E. (comp.): Economics, Ecology and Ethics, Mexico, FCE.</w:t>
            </w:r>
            <w:r>
              <w:br/>
            </w:r>
            <w:r>
              <w:t>Daly, H.E; Cobb, Jr, (1989): For the Common Good. Reorienting the Economy Towards Community</w:t>
            </w:r>
            <w:r>
              <w:t>, the Environment and a Sustainable Future. Mexico, Fondo de Cultura Económica.</w:t>
            </w:r>
            <w:r>
              <w:br/>
            </w:r>
            <w:r>
              <w:t>Erickson, J., Daly, H., and J. Farley, (2003): Ecological Economics: Workbook for Problem-based Learning, Island Press.</w:t>
            </w:r>
            <w:r>
              <w:br/>
            </w:r>
            <w:r>
              <w:t>Faber, M., R. Manstetten, and J. Proops, (1996): Ecologi</w:t>
            </w:r>
            <w:r>
              <w:t xml:space="preserve">cal Economics: Concepts and Methods, Cheltenham, </w:t>
            </w:r>
            <w:r>
              <w:lastRenderedPageBreak/>
              <w:t>Edward Elgar.</w:t>
            </w:r>
            <w:r>
              <w:br/>
            </w:r>
            <w:r>
              <w:t>Georgescu-Roegen, N. (1996): The Law of Entropy and the Economic Process, Madrid, Visor-Fundación Argentaria (e.o 1972).</w:t>
            </w:r>
            <w:r>
              <w:br/>
            </w:r>
            <w:r>
              <w:t>Georgescu-Roegen, N. (2007): Bioeconomic Essays. Edited by Óscar Carpint</w:t>
            </w:r>
            <w:r>
              <w:t>ero, Madrid, Los Libros de la Catarata.</w:t>
            </w:r>
            <w:r>
              <w:br/>
            </w:r>
            <w:r>
              <w:t>González de Molina, M. and G. Guzmán Casado, (2006): Tras los pasos de la insustentabilidad (In the Footsteps of Unsustainability), Barcelona, Icaria.</w:t>
            </w:r>
            <w:r>
              <w:br/>
            </w:r>
            <w:r>
              <w:t>Goodland, R, et.al, (1997): Environment and Sustainable Developme</w:t>
            </w:r>
            <w:r>
              <w:t>nt, Madrid, Trotta.</w:t>
            </w:r>
            <w:r>
              <w:br/>
            </w:r>
            <w:r>
              <w:t>Martínez Alier, J, (ed.), (1995): The Principles of Ecological Economics. Texts by P. Geddes, S.A.</w:t>
            </w:r>
            <w:r>
              <w:br/>
            </w:r>
            <w:r>
              <w:t>Podolinsky and F. Soddy, Madrid, Fundación Argentaria-Visor Distribuciones,</w:t>
            </w:r>
            <w:r>
              <w:br/>
            </w:r>
            <w:r>
              <w:t>Martínez Alier, J., (1992): From Ecological Economics to Popu</w:t>
            </w:r>
            <w:r>
              <w:t>lar Environmentalism, Barcelona Icaria.</w:t>
            </w:r>
            <w:r>
              <w:br/>
            </w:r>
            <w:r>
              <w:t>Martínez Alier, J., (2005): The Environmentalism of the Poor, Barcelona, Icaria.</w:t>
            </w:r>
            <w:r>
              <w:br/>
            </w:r>
            <w:r>
              <w:t>Martínez Alier, J., Ropke, I. (eds.), (2008): New Developments in Ecological Economics, Chentelham, Edward Elgar</w:t>
            </w:r>
            <w:r>
              <w:br/>
            </w:r>
            <w:r>
              <w:t>Martínez Alier, J., an</w:t>
            </w:r>
            <w:r>
              <w:t>d J. Roca, (2000): Ecological Economics and Environmental Policy, Mexico, FCE.</w:t>
            </w:r>
            <w:r>
              <w:br/>
            </w:r>
            <w:r>
              <w:t>Martínez Alier, J; Schlüpmann, K, (1991): Economics and Ecology, Mexico, FCE.</w:t>
            </w:r>
            <w:r>
              <w:br/>
            </w:r>
            <w:r>
              <w:t>Matthews, E., et al. (2000): The Weight of Nations. Material Outflows from Industrial Economies, Washington, World Resources Institute.</w:t>
            </w:r>
            <w:r>
              <w:br/>
            </w:r>
            <w:r>
              <w:t>Meadows, D., J. Randers and D. Meadows, (2002): The Limits to Growth 30 Years Later, Barcelona, Galaxia Gutemberg.</w:t>
            </w:r>
            <w:r>
              <w:br/>
            </w:r>
            <w:r>
              <w:t>Munda</w:t>
            </w:r>
            <w:r>
              <w:t>, G. (2007): Social-Multicriteria Evaluation for Sustainable Development, Springer Verlag. Berlin.</w:t>
            </w:r>
            <w:r>
              <w:br/>
            </w:r>
            <w:r>
              <w:t>Naredo, J. M, Valero, A, (eds.), (1999): Economic Development and Ecological Deterioration, Madrid, Fundación Argentaria-Visor Distribuidores.</w:t>
            </w:r>
            <w:r>
              <w:br/>
            </w:r>
            <w:r>
              <w:t>Naredo, J. M.,</w:t>
            </w:r>
            <w:r>
              <w:t xml:space="preserve"> (1987): The Evolving Economy, Madrid, Siglo XXI (3rd edition, 2003).</w:t>
            </w:r>
            <w:r>
              <w:br/>
            </w:r>
            <w:r>
              <w:t>Naredo, J.M. (2006): Economic Roots of Ecological and Social Deterioration, Madrid, Siglo XXI.</w:t>
            </w:r>
            <w:r>
              <w:br/>
            </w:r>
            <w:r>
              <w:t>Pearce, D. and K. Turner, (1995): Economics of Natural and Environmental Resources, Madrid,</w:t>
            </w:r>
            <w:r>
              <w:t xml:space="preserve"> Ed.Celeste and College of Economists.</w:t>
            </w:r>
            <w:r>
              <w:br/>
            </w:r>
            <w:r>
              <w:t xml:space="preserve">Riechmann, J, (2003): Cuidar la T(t)ierra. Políticas agrarias y alimentarias sostenibles para entrar en el siglo XXI (Caring for the Earth. Sustainable agricultural and food policies for the 21st century), Barcelona, </w:t>
            </w:r>
            <w:r>
              <w:t>Icaria.</w:t>
            </w:r>
            <w:r>
              <w:br/>
            </w:r>
            <w:r>
              <w:t>Riechmann, J., (2006): Biomimicry, Madrid, Los Libros de la Catarata.</w:t>
            </w:r>
            <w:r>
              <w:br/>
            </w:r>
            <w:r>
              <w:br/>
            </w:r>
          </w:p>
        </w:tc>
      </w:tr>
      <w:tr w:rsidR="0067489E">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67489E" w:rsidRDefault="00475D39">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67489E">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67489E" w:rsidRDefault="0067489E">
            <w:pPr>
              <w:widowControl w:val="0"/>
              <w:spacing w:after="0"/>
              <w:contextualSpacing/>
              <w:rPr>
                <w:rFonts w:eastAsia="NSimSun" w:cstheme="minorHAnsi"/>
                <w:b/>
                <w:color w:val="000000"/>
                <w:kern w:val="2"/>
                <w:sz w:val="24"/>
                <w:szCs w:val="24"/>
                <w:lang w:eastAsia="zh-CN" w:bidi="hi-IN"/>
              </w:rPr>
            </w:pPr>
          </w:p>
        </w:tc>
      </w:tr>
    </w:tbl>
    <w:p w:rsidR="0067489E" w:rsidRDefault="0067489E">
      <w:pPr>
        <w:pStyle w:val="TableContents"/>
        <w:jc w:val="both"/>
        <w:rPr>
          <w:rFonts w:ascii="Serif" w:hAnsi="Serif"/>
        </w:rPr>
      </w:pPr>
    </w:p>
    <w:p w:rsidR="0067489E" w:rsidRDefault="00475D39">
      <w:pPr>
        <w:pStyle w:val="TableContents"/>
        <w:jc w:val="both"/>
        <w:rPr>
          <w:rFonts w:ascii="Serif" w:hAnsi="Serif"/>
        </w:rPr>
      </w:pPr>
      <w:r>
        <w:rPr>
          <w:rFonts w:ascii="Serif" w:hAnsi="Serif"/>
          <w:color w:val="00000A"/>
          <w:sz w:val="20"/>
          <w:szCs w:val="20"/>
        </w:rPr>
        <w:t>In Seville, on 15 July 2024.</w:t>
      </w:r>
    </w:p>
    <w:p w:rsidR="0067489E" w:rsidRDefault="00475D39">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67489E" w:rsidRDefault="0067489E">
      <w:pPr>
        <w:pStyle w:val="TableContents"/>
        <w:spacing w:line="312" w:lineRule="auto"/>
        <w:ind w:left="-567"/>
        <w:jc w:val="right"/>
        <w:rPr>
          <w:rFonts w:ascii="Serif" w:hAnsi="Serif"/>
        </w:rPr>
      </w:pPr>
    </w:p>
    <w:p w:rsidR="0067489E" w:rsidRPr="00D13A58" w:rsidRDefault="00475D39">
      <w:pPr>
        <w:spacing w:before="120" w:after="120" w:line="312" w:lineRule="auto"/>
        <w:ind w:left="-567"/>
        <w:contextualSpacing/>
        <w:rPr>
          <w:sz w:val="18"/>
          <w:szCs w:val="18"/>
        </w:rPr>
      </w:pPr>
      <w:r w:rsidRPr="00D13A58">
        <w:rPr>
          <w:rFonts w:ascii="Times New Roman" w:hAnsi="Times New Roman"/>
          <w:sz w:val="18"/>
          <w:szCs w:val="18"/>
        </w:rPr>
        <w:t xml:space="preserve">            In accordance with current legislation on the protection of personal data (Regulation(EU) 2016/679, of 27 April), we inform you that the personal data you have provided will be processed by the INTERNATIONAL UNIVERSITY OF ANDALUSIA as the data </w:t>
      </w:r>
      <w:r w:rsidRPr="00D13A58">
        <w:rPr>
          <w:rFonts w:ascii="Times New Roman" w:hAnsi="Times New Roman"/>
          <w:sz w:val="18"/>
          <w:szCs w:val="18"/>
        </w:rPr>
        <w:t xml:space="preserve">controller, with the Academic Management Department (Monasterio Santa María de las Cuevas, C / Américo Vespucio nº2. Isla de La Cartuja - 41092 - Seville), before whom you may exercise your rights of access, </w:t>
      </w:r>
      <w:r w:rsidRPr="00D13A58">
        <w:rPr>
          <w:rFonts w:ascii="Times New Roman" w:hAnsi="Times New Roman"/>
          <w:sz w:val="18"/>
          <w:szCs w:val="18"/>
        </w:rPr>
        <w:lastRenderedPageBreak/>
        <w:t>rectification, limitation, opposition or portabi</w:t>
      </w:r>
      <w:r w:rsidRPr="00D13A58">
        <w:rPr>
          <w:rFonts w:ascii="Times New Roman" w:hAnsi="Times New Roman"/>
          <w:sz w:val="18"/>
          <w:szCs w:val="18"/>
        </w:rPr>
        <w:t xml:space="preserve">lity, specifically indicating the reason for your request and attaching a copy of your identity document. The request may be made in writing on paper or by electronic means. </w:t>
      </w:r>
      <w:r w:rsidRPr="00D13A58">
        <w:rPr>
          <w:rFonts w:ascii="Times New Roman" w:hAnsi="Times New Roman"/>
          <w:sz w:val="18"/>
          <w:szCs w:val="18"/>
        </w:rPr>
        <w:br/>
      </w:r>
      <w:r w:rsidRPr="00D13A58">
        <w:rPr>
          <w:rFonts w:ascii="Times New Roman" w:hAnsi="Times New Roman"/>
          <w:sz w:val="18"/>
          <w:szCs w:val="18"/>
        </w:rPr>
        <w:br/>
        <w:t xml:space="preserve">            If you do not receive a response or your request is rejected, you ma</w:t>
      </w:r>
      <w:r w:rsidRPr="00D13A58">
        <w:rPr>
          <w:rFonts w:ascii="Times New Roman" w:hAnsi="Times New Roman"/>
          <w:sz w:val="18"/>
          <w:szCs w:val="18"/>
        </w:rPr>
        <w:t xml:space="preserve">y contact the University's Data Protection Officer (rgpd@unia.es Tel. 954 462299) or lodge a complaint with the Spanish Data Protection Agency using the forms provided for this purpose on its website: https://sedeagpd.gob.es. </w:t>
      </w:r>
      <w:r w:rsidRPr="00D13A58">
        <w:rPr>
          <w:rFonts w:ascii="Times New Roman" w:hAnsi="Times New Roman"/>
          <w:sz w:val="18"/>
          <w:szCs w:val="18"/>
        </w:rPr>
        <w:br/>
      </w:r>
      <w:r w:rsidRPr="00D13A58">
        <w:rPr>
          <w:rFonts w:ascii="Times New Roman" w:hAnsi="Times New Roman"/>
          <w:sz w:val="18"/>
          <w:szCs w:val="18"/>
        </w:rPr>
        <w:br/>
        <w:t xml:space="preserve">            As the data cont</w:t>
      </w:r>
      <w:r w:rsidRPr="00D13A58">
        <w:rPr>
          <w:rFonts w:ascii="Times New Roman" w:hAnsi="Times New Roman"/>
          <w:sz w:val="18"/>
          <w:szCs w:val="18"/>
        </w:rPr>
        <w:t xml:space="preserve">roller, the University informs you that it will only process the personal data you provide for the following purposes: </w:t>
      </w:r>
      <w:r w:rsidRPr="00D13A58">
        <w:rPr>
          <w:rFonts w:ascii="Times New Roman" w:hAnsi="Times New Roman"/>
          <w:sz w:val="18"/>
          <w:szCs w:val="18"/>
        </w:rPr>
        <w:br/>
        <w:t xml:space="preserve">            a)    Academic and administrative management of: </w:t>
      </w:r>
      <w:r w:rsidRPr="00D13A58">
        <w:rPr>
          <w:rFonts w:ascii="Times New Roman" w:hAnsi="Times New Roman"/>
          <w:sz w:val="18"/>
          <w:szCs w:val="18"/>
        </w:rPr>
        <w:br/>
        <w:t xml:space="preserve">                • Participation in the admission and enrolment processes f</w:t>
      </w:r>
      <w:r w:rsidRPr="00D13A58">
        <w:rPr>
          <w:rFonts w:ascii="Times New Roman" w:hAnsi="Times New Roman"/>
          <w:sz w:val="18"/>
          <w:szCs w:val="18"/>
        </w:rPr>
        <w:t xml:space="preserve">or official courses (Bachelor's, Master's and Doctorate degrees) or continuing education at the International University of Andalusia. </w:t>
      </w:r>
      <w:r w:rsidRPr="00D13A58">
        <w:rPr>
          <w:rFonts w:ascii="Times New Roman" w:hAnsi="Times New Roman"/>
          <w:sz w:val="18"/>
          <w:szCs w:val="18"/>
        </w:rPr>
        <w:br/>
        <w:t xml:space="preserve">                •    Enrolment and/or registration as a student in any of the official degree programmes (bachelor's, ma</w:t>
      </w:r>
      <w:r w:rsidRPr="00D13A58">
        <w:rPr>
          <w:rFonts w:ascii="Times New Roman" w:hAnsi="Times New Roman"/>
          <w:sz w:val="18"/>
          <w:szCs w:val="18"/>
        </w:rPr>
        <w:t xml:space="preserve">ster's and doctoral), continuing education or other academic activities offered by the International University of Andalusia. </w:t>
      </w:r>
      <w:r w:rsidRPr="00D13A58">
        <w:rPr>
          <w:rFonts w:ascii="Times New Roman" w:hAnsi="Times New Roman"/>
          <w:sz w:val="18"/>
          <w:szCs w:val="18"/>
        </w:rPr>
        <w:br/>
        <w:t xml:space="preserve">                • Participation in calls for scholarships and study grants from the International University of Andalusia, the Ge</w:t>
      </w:r>
      <w:r w:rsidRPr="00D13A58">
        <w:rPr>
          <w:rFonts w:ascii="Times New Roman" w:hAnsi="Times New Roman"/>
          <w:sz w:val="18"/>
          <w:szCs w:val="18"/>
        </w:rPr>
        <w:t xml:space="preserve">neral State Administration or the Autonomous Communities and other public or private entities. </w:t>
      </w:r>
      <w:r w:rsidRPr="00D13A58">
        <w:rPr>
          <w:rFonts w:ascii="Times New Roman" w:hAnsi="Times New Roman"/>
          <w:sz w:val="18"/>
          <w:szCs w:val="18"/>
        </w:rPr>
        <w:br/>
        <w:t xml:space="preserve">                • Participation in calls for national or international mobility programmes. </w:t>
      </w:r>
      <w:r w:rsidRPr="00D13A58">
        <w:rPr>
          <w:rFonts w:ascii="Times New Roman" w:hAnsi="Times New Roman"/>
          <w:sz w:val="18"/>
          <w:szCs w:val="18"/>
        </w:rPr>
        <w:br/>
        <w:t xml:space="preserve">                •    Obtaining and issuing official degrees, univer</w:t>
      </w:r>
      <w:r w:rsidRPr="00D13A58">
        <w:rPr>
          <w:rFonts w:ascii="Times New Roman" w:hAnsi="Times New Roman"/>
          <w:sz w:val="18"/>
          <w:szCs w:val="18"/>
        </w:rPr>
        <w:t xml:space="preserve">sity-specific degrees and other academic qualifications. </w:t>
      </w:r>
      <w:r w:rsidRPr="00D13A58">
        <w:rPr>
          <w:rFonts w:ascii="Times New Roman" w:hAnsi="Times New Roman"/>
          <w:sz w:val="18"/>
          <w:szCs w:val="18"/>
        </w:rPr>
        <w:br/>
      </w:r>
      <w:bookmarkStart w:id="0" w:name="_GoBack"/>
      <w:bookmarkEnd w:id="0"/>
      <w:r w:rsidRPr="00D13A58">
        <w:rPr>
          <w:rFonts w:ascii="Times New Roman" w:hAnsi="Times New Roman"/>
          <w:sz w:val="18"/>
          <w:szCs w:val="18"/>
        </w:rPr>
        <w:t xml:space="preserve">            b)    Management of your participation as a student in national or international internships and training activities in institutions, companies, organisations or other centres. </w:t>
      </w:r>
      <w:r w:rsidRPr="00D13A58">
        <w:rPr>
          <w:rFonts w:ascii="Times New Roman" w:hAnsi="Times New Roman"/>
          <w:sz w:val="18"/>
          <w:szCs w:val="18"/>
        </w:rPr>
        <w:br/>
        <w:t xml:space="preserve">        </w:t>
      </w:r>
      <w:r w:rsidRPr="00D13A58">
        <w:rPr>
          <w:rFonts w:ascii="Times New Roman" w:hAnsi="Times New Roman"/>
          <w:sz w:val="18"/>
          <w:szCs w:val="18"/>
        </w:rPr>
        <w:t xml:space="preserve">    c) Use of university services such as obtaining a university card, libraries, sports activities, or others. </w:t>
      </w:r>
      <w:r w:rsidRPr="00D13A58">
        <w:rPr>
          <w:rFonts w:ascii="Times New Roman" w:hAnsi="Times New Roman"/>
          <w:sz w:val="18"/>
          <w:szCs w:val="18"/>
        </w:rPr>
        <w:br/>
      </w:r>
      <w:r w:rsidRPr="00D13A58">
        <w:rPr>
          <w:rFonts w:ascii="Times New Roman" w:hAnsi="Times New Roman"/>
          <w:sz w:val="18"/>
          <w:szCs w:val="18"/>
        </w:rPr>
        <w:br/>
        <w:t xml:space="preserve">            The University is entitled to process this data as it is necessary for the execution of the legal relationship established between</w:t>
      </w:r>
      <w:r w:rsidRPr="00D13A58">
        <w:rPr>
          <w:rFonts w:ascii="Times New Roman" w:hAnsi="Times New Roman"/>
          <w:sz w:val="18"/>
          <w:szCs w:val="18"/>
        </w:rPr>
        <w:t xml:space="preserve"> you and the University and for the University to comply with its legal obligations established in Organic Law 6/2001 on Universities. </w:t>
      </w:r>
      <w:r w:rsidRPr="00D13A58">
        <w:rPr>
          <w:rFonts w:ascii="Times New Roman" w:hAnsi="Times New Roman"/>
          <w:sz w:val="18"/>
          <w:szCs w:val="18"/>
        </w:rPr>
        <w:br/>
        <w:t xml:space="preserve">            You are responsible for the accuracy of the personal data you have provided to the University and for keepin</w:t>
      </w:r>
      <w:r w:rsidRPr="00D13A58">
        <w:rPr>
          <w:rFonts w:ascii="Times New Roman" w:hAnsi="Times New Roman"/>
          <w:sz w:val="18"/>
          <w:szCs w:val="18"/>
        </w:rPr>
        <w:t xml:space="preserve">g it up to date. </w:t>
      </w:r>
      <w:r w:rsidRPr="00D13A58">
        <w:rPr>
          <w:rFonts w:ascii="Times New Roman" w:hAnsi="Times New Roman"/>
          <w:sz w:val="18"/>
          <w:szCs w:val="18"/>
        </w:rPr>
        <w:br/>
        <w:t xml:space="preserve">            The University will communicate the personal data that is essential, and never in any other case, to the following categories of recipients: </w:t>
      </w:r>
      <w:r w:rsidRPr="00D13A58">
        <w:rPr>
          <w:rFonts w:ascii="Times New Roman" w:hAnsi="Times New Roman"/>
          <w:sz w:val="18"/>
          <w:szCs w:val="18"/>
        </w:rPr>
        <w:br/>
        <w:t xml:space="preserve">                •    Other public administrations and bodies for the exercise of the</w:t>
      </w:r>
      <w:r w:rsidRPr="00D13A58">
        <w:rPr>
          <w:rFonts w:ascii="Times New Roman" w:hAnsi="Times New Roman"/>
          <w:sz w:val="18"/>
          <w:szCs w:val="18"/>
        </w:rPr>
        <w:t>ir own powers and in accordance with the purposes set out above (including, but not limited to, ministries with powers in education and science, other administrations, other universities or equivalent training centres for the management of transfers, and c</w:t>
      </w:r>
      <w:r w:rsidRPr="00D13A58">
        <w:rPr>
          <w:rFonts w:ascii="Times New Roman" w:hAnsi="Times New Roman"/>
          <w:sz w:val="18"/>
          <w:szCs w:val="18"/>
        </w:rPr>
        <w:t xml:space="preserve">ompanies for the purpose of work placements). </w:t>
      </w:r>
      <w:r w:rsidRPr="00D13A58">
        <w:rPr>
          <w:rFonts w:ascii="Times New Roman" w:hAnsi="Times New Roman"/>
          <w:sz w:val="18"/>
          <w:szCs w:val="18"/>
        </w:rPr>
        <w:br/>
        <w:t xml:space="preserve">                •    To banking institutions for the management of payments and collections. </w:t>
      </w:r>
      <w:r w:rsidRPr="00D13A58">
        <w:rPr>
          <w:rFonts w:ascii="Times New Roman" w:hAnsi="Times New Roman"/>
          <w:sz w:val="18"/>
          <w:szCs w:val="18"/>
        </w:rPr>
        <w:br/>
        <w:t xml:space="preserve">                •    To public or private bodies by virtue of collaboration agreements or contracts, in accordance </w:t>
      </w:r>
      <w:r w:rsidRPr="00D13A58">
        <w:rPr>
          <w:rFonts w:ascii="Times New Roman" w:hAnsi="Times New Roman"/>
          <w:sz w:val="18"/>
          <w:szCs w:val="18"/>
        </w:rPr>
        <w:t xml:space="preserve">with the provisions of current legislation on data protection. </w:t>
      </w:r>
      <w:r w:rsidRPr="00D13A58">
        <w:rPr>
          <w:rFonts w:ascii="Times New Roman" w:hAnsi="Times New Roman"/>
          <w:sz w:val="18"/>
          <w:szCs w:val="18"/>
        </w:rPr>
        <w:br/>
        <w:t xml:space="preserve">                • To the University's own services that are appropriate for managing the use of the university services offered. </w:t>
      </w:r>
      <w:r w:rsidRPr="00D13A58">
        <w:rPr>
          <w:rFonts w:ascii="Times New Roman" w:hAnsi="Times New Roman"/>
          <w:sz w:val="18"/>
          <w:szCs w:val="18"/>
        </w:rPr>
        <w:br/>
        <w:t xml:space="preserve">            Your personal data will be processed and stored by</w:t>
      </w:r>
      <w:r w:rsidRPr="00D13A58">
        <w:rPr>
          <w:rFonts w:ascii="Times New Roman" w:hAnsi="Times New Roman"/>
          <w:sz w:val="18"/>
          <w:szCs w:val="18"/>
        </w:rPr>
        <w:t xml:space="preserve"> the University in accordance with current data protection legislation, and will then become part of the University Historical Archive, after being purged, in accordance with the provisions of the legislation on Historical Heritage. </w:t>
      </w:r>
      <w:r w:rsidRPr="00D13A58">
        <w:rPr>
          <w:rFonts w:ascii="Times New Roman" w:hAnsi="Times New Roman"/>
          <w:sz w:val="18"/>
          <w:szCs w:val="18"/>
        </w:rPr>
        <w:br/>
      </w:r>
      <w:r w:rsidRPr="00D13A58">
        <w:rPr>
          <w:rFonts w:ascii="Times New Roman" w:hAnsi="Times New Roman"/>
          <w:sz w:val="18"/>
          <w:szCs w:val="18"/>
        </w:rPr>
        <w:br/>
        <w:t xml:space="preserve">            The Unive</w:t>
      </w:r>
      <w:r w:rsidRPr="00D13A58">
        <w:rPr>
          <w:rFonts w:ascii="Times New Roman" w:hAnsi="Times New Roman"/>
          <w:sz w:val="18"/>
          <w:szCs w:val="18"/>
        </w:rPr>
        <w:t>rsity only envisages the transfer of data to third countries in the case of your participation as a student in any of the international training programmes or scholarships. The transfer will be carried out in accordance with the guidelines established in t</w:t>
      </w:r>
      <w:r w:rsidRPr="00D13A58">
        <w:rPr>
          <w:rFonts w:ascii="Times New Roman" w:hAnsi="Times New Roman"/>
          <w:sz w:val="18"/>
          <w:szCs w:val="18"/>
        </w:rPr>
        <w:t xml:space="preserve">his regard by the European Data Protection Regulation and implementing regulations. </w:t>
      </w:r>
      <w:r w:rsidRPr="00D13A58">
        <w:rPr>
          <w:rFonts w:ascii="Times New Roman" w:hAnsi="Times New Roman"/>
          <w:sz w:val="18"/>
          <w:szCs w:val="18"/>
        </w:rPr>
        <w:br/>
        <w:t xml:space="preserve">            The Data Protection Service of the International University of Andalusia has a website that includes legislation, information and models relating to Personal D</w:t>
      </w:r>
      <w:r w:rsidRPr="00D13A58">
        <w:rPr>
          <w:rFonts w:ascii="Times New Roman" w:hAnsi="Times New Roman"/>
          <w:sz w:val="18"/>
          <w:szCs w:val="18"/>
        </w:rPr>
        <w:t>ata Protection, which can be accessed via the following link:  https://www.unia.es/protecciondatos</w:t>
      </w:r>
    </w:p>
    <w:sectPr w:rsidR="0067489E" w:rsidRPr="00D13A58">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39" w:rsidRDefault="00475D39">
      <w:pPr>
        <w:spacing w:after="0" w:line="240" w:lineRule="auto"/>
      </w:pPr>
      <w:r>
        <w:separator/>
      </w:r>
    </w:p>
  </w:endnote>
  <w:endnote w:type="continuationSeparator" w:id="0">
    <w:p w:rsidR="00475D39" w:rsidRDefault="0047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67489E" w:rsidRDefault="00475D39">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D13A58">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67489E" w:rsidRDefault="00475D39">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D13A58">
          <w:rPr>
            <w:noProof/>
            <w:sz w:val="18"/>
            <w:szCs w:val="18"/>
          </w:rPr>
          <w:t>9</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39" w:rsidRDefault="00475D39">
      <w:pPr>
        <w:spacing w:after="0" w:line="240" w:lineRule="auto"/>
      </w:pPr>
      <w:r>
        <w:separator/>
      </w:r>
    </w:p>
  </w:footnote>
  <w:footnote w:type="continuationSeparator" w:id="0">
    <w:p w:rsidR="00475D39" w:rsidRDefault="0047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9E" w:rsidRDefault="0067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67489E">
      <w:tc>
        <w:tcPr>
          <w:tcW w:w="4419" w:type="dxa"/>
          <w:shd w:val="clear" w:color="auto" w:fill="auto"/>
          <w:vAlign w:val="center"/>
        </w:tcPr>
        <w:p w:rsidR="0067489E" w:rsidRDefault="00475D39">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67489E" w:rsidRDefault="00475D39">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67489E" w:rsidRDefault="0067489E">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9E"/>
    <w:rsid w:val="00475D39"/>
    <w:rsid w:val="0067489E"/>
    <w:rsid w:val="00D13A5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D3843-8550-4852-B7C0-075DB1E0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docId:FB942E212CC2B606F45A12EBE285594B</cp:keywords>
  <dc:description/>
  <cp:lastModifiedBy>georgemca20@gmail.com</cp:lastModifiedBy>
  <cp:revision>2</cp:revision>
  <cp:lastPrinted>2019-03-29T12:33:00Z</cp:lastPrinted>
  <dcterms:created xsi:type="dcterms:W3CDTF">2025-10-03T15:09:00Z</dcterms:created>
  <dcterms:modified xsi:type="dcterms:W3CDTF">2025-10-03T15:09:00Z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