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'1.0' encoding='UTF-8' standalone='yes'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>
          <w:rFonts w:ascii="Calibri" w:hAnsi="Calibri" w:cs="Calibri"/>
          <w:sz w:val="48"/>
          <w:szCs w:val="48"/>
        </w:rPr>
      </w:pPr>
      <w:r>
        <w:rPr>
          <w:rFonts w:cs="Calibri"/>
          <w:sz w:val="48"/>
          <w:szCs w:val="48"/>
        </w:rPr>
      </w:r>
    </w:p>
    <w:p>
      <w:pPr>
        <w:pStyle w:val="Heading1"/>
        <w:tabs>
          <w:tab w:val="clear" w:pos="708"/>
          <w:tab w:val="left" w:pos="0" w:leader="none"/>
        </w:tabs>
        <w:rPr>
          <w:rFonts w:ascii="Calibri" w:hAnsi="Calibri" w:cs="Calibri"/>
          <w:sz w:val="48"/>
          <w:szCs w:val="48"/>
        </w:rPr>
      </w:pPr>
      <w:r>
        <w:rPr>
          <w:rFonts w:cs="Calibri" w:ascii="Calibri" w:hAnsi="Calibri"/>
          <w:sz w:val="48"/>
          <w:szCs w:val="48"/>
        </w:rPr>
      </w:r>
    </w:p>
    <w:p>
      <w:pPr>
        <w:pStyle w:val="Heading1"/>
        <w:tabs>
          <w:tab w:val="clear" w:pos="708"/>
          <w:tab w:val="left" w:pos="0" w:leader="none"/>
        </w:tabs>
        <w:rPr>
          <w:rFonts w:ascii="Calibri" w:hAnsi="Calibri" w:cs="Calibri"/>
          <w:sz w:val="48"/>
          <w:szCs w:val="48"/>
        </w:rPr>
      </w:pPr>
      <w:r>
        <w:rPr>
          <w:rFonts w:cs="Calibri" w:ascii="Calibri" w:hAnsi="Calibri"/>
          <w:sz w:val="48"/>
          <w:szCs w:val="48"/>
        </w:rPr>
      </w:r>
    </w:p>
    <w:p>
      <w:pPr>
        <w:pStyle w:val="Heading1"/>
        <w:tabs>
          <w:tab w:val="clear" w:pos="708"/>
          <w:tab w:val="left" w:pos="0" w:leader="none"/>
        </w:tabs>
        <w:rPr>
          <w:rFonts w:ascii="Calibri" w:hAnsi="Calibri" w:cs="Calibri"/>
          <w:sz w:val="48"/>
          <w:szCs w:val="48"/>
        </w:rPr>
      </w:pPr>
      <w:hyperlink r:id="rId2">
        <w:r>
          <w:rPr>
            <w:rFonts w:eastAsia="Times New Roman" w:cs="Calibri" w:ascii="Calibri" w:hAnsi="Calibri" w:asciiTheme="minorHAnsi" w:hAnsiTheme="minorHAnsi"/>
            <w:b/>
            <w:color w:val="auto"/>
            <w:kern w:val="2"/>
            <w:sz w:val="48"/>
            <w:szCs w:val="48"/>
            <w:lang w:val="es-ES" w:eastAsia="zh-CN" w:bidi="ar-SA"/>
          </w:rPr>
          <w:t>Agroecología: un Enfoque de Transformación Sustentable de los Sistemas Agroalimentarios – Módulo F - Metodologías agroecológicas (II)</w:t>
        </w:r>
      </w:hyperlink>
    </w:p>
    <w:p>
      <w:pPr>
        <w:pStyle w:val="Normal"/>
        <w:tabs>
          <w:tab w:val="clear" w:pos="708"/>
          <w:tab w:val="left" w:pos="0" w:leader="none"/>
        </w:tabs>
        <w:rPr>
          <w:rFonts w:ascii="Calibri" w:hAnsi="Calibri" w:cs="Calibri"/>
          <w:sz w:val="48"/>
          <w:szCs w:val="48"/>
        </w:rPr>
      </w:pPr>
      <w:r>
        <w:rPr>
          <w:rFonts w:cs="Calibri"/>
          <w:sz w:val="48"/>
          <w:szCs w:val="48"/>
        </w:rPr>
      </w:r>
    </w:p>
    <w:p>
      <w:pPr>
        <w:pStyle w:val="Normal"/>
        <w:rPr>
          <w:rFonts w:ascii="Calibri" w:hAnsi="Calibri" w:cs="Calibri"/>
          <w:sz w:val="32"/>
          <w:szCs w:val="32"/>
        </w:rPr>
      </w:pPr>
      <w:r>
        <w:rPr>
          <w:rFonts w:cs="Calibri"/>
          <w:sz w:val="32"/>
          <w:szCs w:val="32"/>
        </w:rPr>
      </w:r>
    </w:p>
    <w:p>
      <w:pPr>
        <w:pStyle w:val="Normal"/>
        <w:suppressLineNumbers/>
        <w:suppressAutoHyphens w:val="true"/>
        <w:spacing w:lineRule="auto" w:line="240" w:before="0" w:after="0"/>
        <w:jc w:val="center"/>
        <w:textAlignment w:val="baseline"/>
        <w:rPr/>
      </w:pPr>
      <w:r>
        <w:rPr>
          <w:rFonts w:eastAsia="Calibri" w:cs="Calibri" w:cstheme="minorHAnsi"/>
          <w:b w:val="false"/>
          <w:bCs w:val="false"/>
          <w:color w:val="00000A"/>
          <w:kern w:val="2"/>
          <w:sz w:val="22"/>
          <w:szCs w:val="22"/>
          <w:u w:val="none"/>
          <w:lang w:val="es-ES" w:eastAsia="en-US" w:bidi="ar-SA"/>
        </w:rPr>
        <w:t>Metodologías agroecológicas II</w:t>
      </w:r>
    </w:p>
    <w:p>
      <w:pPr>
        <w:pStyle w:val="Normal"/>
        <w:suppressLineNumbers/>
        <w:suppressAutoHyphens w:val="true"/>
        <w:spacing w:lineRule="auto" w:line="240" w:before="0" w:after="0"/>
        <w:jc w:val="center"/>
        <w:textAlignment w:val="baseline"/>
        <w:rPr>
          <w:rFonts w:ascii="Calibri" w:hAnsi="Calibri" w:cs="Calibri"/>
          <w:sz w:val="32"/>
          <w:szCs w:val="32"/>
        </w:rPr>
      </w:pPr>
      <w:r>
        <w:rPr>
          <w:rFonts w:eastAsia="Calibri" w:cs="Calibri" w:cstheme="minorHAnsi"/>
          <w:b w:val="false"/>
          <w:bCs w:val="false"/>
          <w:color w:val="00000A"/>
          <w:kern w:val="2"/>
          <w:sz w:val="22"/>
          <w:szCs w:val="22"/>
          <w:u w:val="none"/>
          <w:lang w:val="es-ES" w:eastAsia="en-US" w:bidi="ar-SA"/>
        </w:rPr>
        <w:t/>
      </w:r>
    </w:p>
    <w:p>
      <w:pPr>
        <w:pStyle w:val="Heading1"/>
        <w:tabs>
          <w:tab w:val="clear" w:pos="708"/>
          <w:tab w:val="left" w:pos="0" w:leader="none"/>
        </w:tabs>
        <w:rPr>
          <w:rFonts w:ascii="Calibri" w:hAnsi="Calibri" w:cs="Calibri"/>
          <w:color w:val="FF6600"/>
          <w:sz w:val="48"/>
          <w:szCs w:val="48"/>
        </w:rPr>
      </w:pPr>
      <w:r>
        <w:rPr>
          <w:rFonts w:cs="Calibri" w:ascii="Calibri" w:hAnsi="Calibri"/>
          <w:color w:val="FF6600"/>
          <w:sz w:val="48"/>
          <w:szCs w:val="48"/>
        </w:rPr>
      </w:r>
    </w:p>
    <w:p>
      <w:pPr>
        <w:pStyle w:val="Heading1"/>
        <w:tabs>
          <w:tab w:val="clear" w:pos="708"/>
          <w:tab w:val="left" w:pos="0" w:leader="none"/>
        </w:tabs>
        <w:rPr>
          <w:rFonts w:ascii="Calibri" w:hAnsi="Calibri" w:cs="Calibri"/>
          <w:color w:val="70AD47"/>
          <w:sz w:val="48"/>
          <w:szCs w:val="48"/>
        </w:rPr>
      </w:pPr>
      <w:r>
        <w:rPr>
          <w:rFonts w:cs="Calibri" w:ascii="Calibri" w:hAnsi="Calibri"/>
          <w:color w:val="70AD47"/>
          <w:sz w:val="48"/>
          <w:szCs w:val="48"/>
        </w:rPr>
        <w:t>GUÍA DOCENTE </w:t>
      </w:r>
    </w:p>
    <w:p>
      <w:pPr>
        <w:pStyle w:val="Normal"/>
        <w:tabs>
          <w:tab w:val="clear" w:pos="708"/>
          <w:tab w:val="left" w:pos="0" w:leader="none"/>
        </w:tabs>
        <w:rPr>
          <w:rFonts w:ascii="Calibri" w:hAnsi="Calibri" w:cs="Calibri"/>
          <w:color w:val="70AD47"/>
          <w:sz w:val="48"/>
          <w:szCs w:val="48"/>
        </w:rPr>
      </w:pPr>
      <w:r>
        <w:rPr>
          <w:rFonts w:cs="Calibri"/>
          <w:color w:val="70AD47"/>
          <w:sz w:val="48"/>
          <w:szCs w:val="48"/>
        </w:rPr>
      </w:r>
    </w:p>
    <w:p>
      <w:pPr>
        <w:pStyle w:val="Normal"/>
        <w:tabs>
          <w:tab w:val="clear" w:pos="708"/>
          <w:tab w:val="left" w:pos="0" w:leader="none"/>
        </w:tabs>
        <w:rPr>
          <w:rFonts w:ascii="Calibri" w:hAnsi="Calibri" w:cs="Calibri"/>
          <w:color w:val="70AD47"/>
          <w:sz w:val="48"/>
          <w:szCs w:val="48"/>
        </w:rPr>
      </w:pPr>
      <w:r>
        <w:rPr>
          <w:rFonts w:cs="Calibri"/>
          <w:color w:val="70AD47"/>
          <w:sz w:val="48"/>
          <w:szCs w:val="48"/>
        </w:rPr>
        <w:drawing>
          <wp:anchor behindDoc="0" distT="0" distB="0" distL="0" distR="0" simplePos="0" locked="0" layoutInCell="1" allowOverlap="1" relativeHeight="5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2340610" cy="2880360"/>
            <wp:effectExtent l="0" t="0" r="0" b="0"/>
            <wp:wrapSquare wrapText="largest"/>
            <wp:docPr id="1" name="Image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0610" cy="28803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spacing w:lineRule="auto" w:line="312" w:before="480" w:after="160"/>
        <w:ind w:left="360" w:hanging="0"/>
        <w:jc w:val="center"/>
        <w:rPr>
          <w:rFonts w:cs="Calibri" w:cstheme="minorHAnsi"/>
          <w:b/>
          <w:b/>
          <w:sz w:val="24"/>
          <w:szCs w:val="24"/>
        </w:rPr>
      </w:pPr>
      <w:r>
        <w:rPr>
          <w:rFonts w:cs="Calibri" w:cstheme="minorHAnsi"/>
          <w:b/>
          <w:sz w:val="24"/>
          <w:szCs w:val="24"/>
        </w:rPr>
      </w:r>
    </w:p>
    <w:p>
      <w:pPr>
        <w:pStyle w:val="Normal"/>
        <w:spacing w:lineRule="auto" w:line="312" w:before="480" w:after="160"/>
        <w:ind w:left="360" w:hanging="0"/>
        <w:jc w:val="center"/>
        <w:rPr>
          <w:rFonts w:cs="Calibri" w:cstheme="minorHAnsi"/>
          <w:b/>
          <w:b/>
          <w:sz w:val="24"/>
          <w:szCs w:val="24"/>
        </w:rPr>
      </w:pPr>
      <w:r>
        <w:rPr>
          <w:rFonts w:cs="Calibri" w:cstheme="minorHAnsi"/>
          <w:b/>
          <w:sz w:val="24"/>
          <w:szCs w:val="24"/>
        </w:rPr>
      </w:r>
    </w:p>
    <w:p>
      <w:pPr>
        <w:pStyle w:val="Normal"/>
        <w:spacing w:lineRule="auto" w:line="312" w:before="480" w:after="160"/>
        <w:ind w:left="360" w:hanging="0"/>
        <w:jc w:val="center"/>
        <w:rPr>
          <w:rFonts w:cs="Calibri" w:cstheme="minorHAnsi"/>
          <w:b/>
          <w:b/>
          <w:sz w:val="24"/>
          <w:szCs w:val="24"/>
        </w:rPr>
      </w:pPr>
      <w:r>
        <w:rPr>
          <w:rFonts w:cs="Calibri" w:cstheme="minorHAnsi"/>
          <w:b/>
          <w:sz w:val="24"/>
          <w:szCs w:val="24"/>
        </w:rPr>
      </w:r>
    </w:p>
    <w:p>
      <w:pPr>
        <w:pStyle w:val="Normal"/>
        <w:spacing w:lineRule="auto" w:line="312" w:before="480" w:after="160"/>
        <w:ind w:left="360" w:hanging="0"/>
        <w:jc w:val="center"/>
        <w:rPr>
          <w:rFonts w:cs="Calibri" w:cstheme="minorHAnsi"/>
          <w:b/>
          <w:b/>
          <w:sz w:val="24"/>
          <w:szCs w:val="24"/>
        </w:rPr>
      </w:pPr>
      <w:r>
        <w:rPr>
          <w:rFonts w:cs="Calibri" w:cstheme="minorHAnsi"/>
          <w:b/>
          <w:sz w:val="24"/>
          <w:szCs w:val="24"/>
        </w:rPr>
      </w:r>
    </w:p>
    <w:p>
      <w:pPr>
        <w:pStyle w:val="Normal"/>
        <w:spacing w:lineRule="auto" w:line="312" w:before="480" w:after="160"/>
        <w:ind w:left="360" w:hanging="0"/>
        <w:jc w:val="center"/>
        <w:rPr>
          <w:rFonts w:cs="Calibri" w:cstheme="minorHAnsi"/>
          <w:b/>
          <w:b/>
          <w:sz w:val="24"/>
          <w:szCs w:val="24"/>
        </w:rPr>
      </w:pPr>
      <w:r>
        <w:rPr>
          <w:rFonts w:cs="Calibri" w:cstheme="minorHAnsi"/>
          <w:b/>
          <w:sz w:val="24"/>
          <w:szCs w:val="24"/>
        </w:rPr>
      </w:r>
    </w:p>
    <w:p>
      <w:pPr>
        <w:pStyle w:val="Normal"/>
        <w:spacing w:lineRule="auto" w:line="312" w:before="480" w:after="160"/>
        <w:ind w:left="360" w:hanging="0"/>
        <w:jc w:val="center"/>
        <w:rPr>
          <w:rFonts w:cs="Calibri" w:cstheme="minorHAnsi"/>
          <w:b/>
          <w:b/>
          <w:sz w:val="24"/>
          <w:szCs w:val="24"/>
        </w:rPr>
      </w:pPr>
      <w:r>
        <w:rPr>
          <w:rFonts w:cs="Calibri" w:cstheme="minorHAnsi"/>
          <w:b/>
          <w:sz w:val="24"/>
          <w:szCs w:val="24"/>
        </w:rPr>
      </w:r>
    </w:p>
    <w:p>
      <w:pPr>
        <w:pStyle w:val="Normal"/>
        <w:spacing w:lineRule="auto" w:line="312" w:before="480" w:after="160"/>
        <w:ind w:hanging="0"/>
        <w:jc w:val="center"/>
        <w:rPr>
          <w:rFonts w:cs="Calibri" w:cstheme="minorHAnsi"/>
          <w:b/>
          <w:b/>
          <w:sz w:val="24"/>
          <w:szCs w:val="24"/>
        </w:rPr>
      </w:pPr>
      <w:r>
        <w:rPr>
          <w:rFonts w:eastAsia="Arial" w:cs="Calibri" w:cstheme="minorHAnsi"/>
          <w:b/>
          <w:sz w:val="24"/>
          <w:szCs w:val="24"/>
          <w:u w:val="none"/>
        </w:rPr>
        <w:t>INSTRUCCIONES PARA LA ELABORACIÓN Y TRAMITACIÓN DE LAS GUÍAS DOCENTES DE LAS ASIGNATURAS</w:t>
      </w:r>
    </w:p>
    <w:p>
      <w:pPr>
        <w:pStyle w:val="ListParagraph"/>
        <w:spacing w:lineRule="auto" w:line="312" w:before="120" w:after="120"/>
        <w:ind w:left="360" w:hanging="0"/>
        <w:contextualSpacing/>
        <w:jc w:val="left"/>
        <w:rPr>
          <w:rFonts w:eastAsia="Arial" w:cs="Calibri" w:cstheme="minorHAnsi"/>
          <w:sz w:val="22"/>
          <w:szCs w:val="22"/>
          <w:u w:val="none"/>
        </w:rPr>
      </w:pPr>
      <w:r>
        <w:rPr>
          <w:rFonts w:eastAsia="Arial" w:cs="Calibri" w:cstheme="minorHAnsi"/>
          <w:sz w:val="22"/>
          <w:szCs w:val="22"/>
          <w:u w:val="none"/>
        </w:rPr>
      </w:r>
    </w:p>
    <w:p>
      <w:pPr>
        <w:sectPr>
          <w:headerReference w:type="default" r:id="rId4"/>
          <w:footerReference w:type="default" r:id="rId5"/>
          <w:type w:val="nextPage"/>
          <w:pgSz w:w="11906" w:h="16838"/>
          <w:pgMar w:left="1701" w:right="1701" w:header="1417" w:top="1717" w:footer="708" w:bottom="1417" w:gutter="0"/>
          <w:pgNumType w:fmt="decimal"/>
          <w:formProt w:val="false"/>
          <w:textDirection w:val="lrTb"/>
          <w:docGrid w:type="default" w:linePitch="360" w:charSpace="4096"/>
        </w:sectPr>
        <w:pStyle w:val="ListParagraph"/>
        <w:spacing w:lineRule="auto" w:line="312" w:before="120" w:after="120"/>
        <w:ind w:left="360" w:hanging="0"/>
        <w:contextualSpacing/>
        <w:jc w:val="left"/>
        <w:rPr>
          <w:rFonts w:ascii="Calibri" w:hAnsi="Calibri" w:cs="Calibri"/>
          <w:color w:val="70AD47"/>
          <w:sz w:val="48"/>
          <w:szCs w:val="48"/>
        </w:rPr>
      </w:pPr>
      <w:r>
        <w:rPr>
          <w:rFonts w:eastAsia="Arial" w:cs="Calibri" w:cstheme="minorHAnsi"/>
          <w:sz w:val="22"/>
          <w:szCs w:val="22"/>
          <w:u w:val="none"/>
        </w:rPr>
        <w:t/>
      </w:r>
    </w:p>
    <w:p>
      <w:pPr>
        <w:pStyle w:val="Normal"/>
        <w:rPr>
          <w:rFonts w:eastAsia="Arial" w:cs="Calibri" w:cstheme="minorHAnsi"/>
          <w:sz w:val="22"/>
          <w:szCs w:val="22"/>
          <w:u w:val="none"/>
        </w:rPr>
      </w:pPr>
      <w:r>
        <w:rPr>
          <w:rFonts w:eastAsia="Arial" w:cs="Calibri" w:cstheme="minorHAnsi"/>
          <w:sz w:val="22"/>
          <w:szCs w:val="22"/>
          <w:u w:val="none"/>
        </w:rPr>
      </w:r>
    </w:p>
    <w:tbl>
      <w:tblPr>
        <w:tblW w:w="9781" w:type="dxa"/>
        <w:jc w:val="left"/>
        <w:tblInd w:w="-522" w:type="dxa"/>
        <w:tblCellMar>
          <w:top w:w="55" w:type="dxa"/>
          <w:left w:w="55" w:type="dxa"/>
          <w:bottom w:w="55" w:type="dxa"/>
          <w:right w:w="55" w:type="dxa"/>
        </w:tblCellMar>
        <w:tblLook w:val="04a0" w:noHBand="0" w:noVBand="1" w:firstColumn="1" w:lastRow="0" w:lastColumn="0" w:firstRow="1"/>
      </w:tblPr>
      <w:tblGrid>
        <w:gridCol w:w="2445"/>
        <w:gridCol w:w="1333"/>
        <w:gridCol w:w="1286"/>
        <w:gridCol w:w="1285"/>
        <w:gridCol w:w="1288"/>
        <w:gridCol w:w="1072"/>
        <w:gridCol w:w="1071"/>
      </w:tblGrid>
      <w:tr>
        <w:trPr/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val="es-ES" w:eastAsia="zh-CN" w:bidi="hi-IN"/>
              </w:rPr>
              <w:t>Tipo de Acción Formativa</w:t>
            </w:r>
          </w:p>
        </w:tc>
        <w:tc>
          <w:tcPr>
            <w:tcW w:w="733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 xml:space="preserve">Máster Universitario</w:t>
            </w:r>
          </w:p>
        </w:tc>
      </w:tr>
      <w:tr>
        <w:trPr/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val="es-ES" w:eastAsia="zh-CN" w:bidi="hi-IN"/>
              </w:rPr>
              <w:t> Nombre de la Acción Formativa</w:t>
            </w:r>
          </w:p>
        </w:tc>
        <w:tc>
          <w:tcPr>
            <w:tcW w:w="733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 xml:space="preserve">Agroecología: un Enfoque de Transformación Sustentable de los Sistemas Agroalimentarios</w:t>
            </w:r>
          </w:p>
        </w:tc>
      </w:tr>
      <w:tr>
        <w:trPr/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>Denominación de la asignatura</w:t>
            </w:r>
          </w:p>
        </w:tc>
        <w:tc>
          <w:tcPr>
            <w:tcW w:w="733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left"/>
              <w:textAlignment w:val="baseline"/>
              <w:rPr>
                <w:u w:val="none"/>
              </w:rPr>
            </w:pPr>
            <w:r>
              <w:rPr>
                <w:rFonts w:eastAsia="Calibri" w:cs="Calibri" w:cstheme="minorHAnsi"/>
                <w:b w:val="false"/>
                <w:bCs w:val="false"/>
                <w:color w:val="00000A"/>
                <w:kern w:val="2"/>
                <w:sz w:val="22"/>
                <w:szCs w:val="22"/>
                <w:u w:val="none"/>
                <w:lang w:val="es-ES" w:eastAsia="en-US" w:bidi="ar-SA"/>
              </w:rPr>
              <w:t>Metodologías agroecológicas II</w:t>
            </w:r>
          </w:p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left"/>
              <w:textAlignment w:val="baseline"/>
              <w:rPr>
                <w:u w:val="none"/>
              </w:rPr>
            </w:pPr>
            <w:r>
              <w:rPr>
                <w:rFonts w:eastAsia="Calibri" w:cs="Calibri" w:cstheme="minorHAnsi"/>
                <w:b w:val="false"/>
                <w:bCs w:val="false"/>
                <w:color w:val="00000A"/>
                <w:kern w:val="2"/>
                <w:sz w:val="22"/>
                <w:szCs w:val="22"/>
                <w:u w:val="none"/>
                <w:lang w:val="es-ES" w:eastAsia="en-US" w:bidi="ar-SA"/>
              </w:rPr>
              <w:t/>
            </w:r>
          </w:p>
        </w:tc>
      </w:tr>
      <w:tr>
        <w:trPr/>
        <w:tc>
          <w:tcPr>
            <w:tcW w:w="2445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val="es-ES" w:eastAsia="zh-CN" w:bidi="hi-IN"/>
              </w:rPr>
              <w:t>Módulo</w:t>
            </w:r>
          </w:p>
        </w:tc>
        <w:tc>
          <w:tcPr>
            <w:tcW w:w="7335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>Módulo F - Metodologías agroecológicas (II)</w:t>
            </w:r>
          </w:p>
        </w:tc>
      </w:tr>
      <w:tr>
        <w:trPr/>
        <w:tc>
          <w:tcPr>
            <w:tcW w:w="2445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>Curso académico</w:t>
            </w:r>
          </w:p>
        </w:tc>
        <w:tc>
          <w:tcPr>
            <w:tcW w:w="7335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 xml:space="preserve">2024-2025</w:t>
            </w:r>
          </w:p>
        </w:tc>
      </w:tr>
      <w:tr>
        <w:trPr/>
        <w:tc>
          <w:tcPr>
            <w:tcW w:w="2445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>Tipología</w:t>
            </w:r>
          </w:p>
        </w:tc>
        <w:tc>
          <w:tcPr>
            <w:tcW w:w="7335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>Obligatoria</w:t>
            </w:r>
          </w:p>
        </w:tc>
      </w:tr>
      <w:tr>
        <w:trPr/>
        <w:tc>
          <w:tcPr>
            <w:tcW w:w="2445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>ECTS</w:t>
            </w:r>
          </w:p>
        </w:tc>
        <w:tc>
          <w:tcPr>
            <w:tcW w:w="1333" w:type="dxa"/>
            <w:tcBorders>
              <w:left w:val="single" w:sz="4" w:space="0" w:color="000000"/>
              <w:bottom w:val="single" w:sz="4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Teoría:</w:t>
            </w:r>
          </w:p>
        </w:tc>
        <w:tc>
          <w:tcPr>
            <w:tcW w:w="1286" w:type="dxa"/>
            <w:tcBorders>
              <w:left w:val="single" w:sz="4" w:space="0" w:color="000000"/>
              <w:bottom w:val="single" w:sz="4" w:space="0" w:color="000000"/>
            </w:tcBorders>
            <w:shd w:color="auto" w:fill="FFFFFF" w:themeFill="background1"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>3.00</w:t>
            </w:r>
          </w:p>
        </w:tc>
        <w:tc>
          <w:tcPr>
            <w:tcW w:w="1285" w:type="dxa"/>
            <w:tcBorders>
              <w:left w:val="single" w:sz="4" w:space="0" w:color="000000"/>
              <w:bottom w:val="single" w:sz="4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Práctica:</w:t>
            </w:r>
          </w:p>
        </w:tc>
        <w:tc>
          <w:tcPr>
            <w:tcW w:w="1288" w:type="dxa"/>
            <w:tcBorders>
              <w:left w:val="single" w:sz="4" w:space="0" w:color="000000"/>
              <w:bottom w:val="single" w:sz="4" w:space="0" w:color="000000"/>
            </w:tcBorders>
            <w:shd w:color="auto" w:fill="FFFFFF" w:themeFill="background1"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b w:val="false"/>
                <w:bCs w:val="false"/>
                <w:color w:val="000000"/>
                <w:kern w:val="2"/>
                <w:sz w:val="22"/>
                <w:szCs w:val="22"/>
                <w:lang w:eastAsia="zh-CN" w:bidi="hi-IN"/>
              </w:rPr>
              <w:t>0.00</w:t>
            </w:r>
          </w:p>
        </w:tc>
        <w:tc>
          <w:tcPr>
            <w:tcW w:w="107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Total:</w:t>
            </w:r>
          </w:p>
        </w:tc>
        <w:tc>
          <w:tcPr>
            <w:tcW w:w="107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>3.00</w:t>
            </w:r>
          </w:p>
        </w:tc>
      </w:tr>
      <w:tr>
        <w:trPr/>
        <w:tc>
          <w:tcPr>
            <w:tcW w:w="2445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>Modalidad Docente</w:t>
            </w:r>
          </w:p>
        </w:tc>
        <w:tc>
          <w:tcPr>
            <w:tcW w:w="7335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>PRESENCIAL</w:t>
            </w:r>
          </w:p>
        </w:tc>
      </w:tr>
      <w:tr>
        <w:trPr/>
        <w:tc>
          <w:tcPr>
            <w:tcW w:w="2445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>Periodo de impartición</w:t>
            </w:r>
          </w:p>
        </w:tc>
        <w:tc>
          <w:tcPr>
            <w:tcW w:w="7335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>17 al 21 de febrero de 2025</w:t>
            </w:r>
          </w:p>
        </w:tc>
      </w:tr>
      <w:tr>
        <w:trPr/>
        <w:tc>
          <w:tcPr>
            <w:tcW w:w="2445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>Web universidad coordinadora</w:t>
            </w:r>
          </w:p>
        </w:tc>
        <w:tc>
          <w:tcPr>
            <w:tcW w:w="7335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ascii="Calibri" w:hAnsi="Calibri" w:cs="Calibri"/>
                <w:color w:val="70AD47"/>
                <w:sz w:val="48"/>
                <w:szCs w:val="48"/>
              </w:rPr>
            </w:pPr>
            <w:hyperlink r:id="rId11">
              <w:r>
                <w:rPr>
                  <w:rStyle w:val="Hyperlink"/>
                </w:rPr>
                <w:t>https://www.unia.es/estudios-y-acceso/oferta-academica/masteres-oficiales/master-oficial-en-agroecologia-un-enfoque-para-la-sustentabilidad-rural-2</w:t>
              </w:r>
            </w:hyperlink>
          </w:p>
        </w:tc>
      </w:tr>
      <w:tr>
        <w:trPr>
          <w:trHeight w:val="704" w:hRule="atLeast"/>
        </w:trPr>
        <w:tc>
          <w:tcPr>
            <w:tcW w:w="2445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pacing w:before="0" w:after="160"/>
              <w:contextualSpacing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/>
              <w:t>Web universidad colaboradora</w:t>
            </w:r>
          </w:p>
        </w:tc>
        <w:tc>
          <w:tcPr>
            <w:tcW w:w="7335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/>
            </w:pPr>
            <w:hyperlink r:id="rId12">
              <w:r>
                <w:rPr>
                  <w:rStyle w:val="Hyperlink"/>
                </w:rPr>
                <w:t>https://www.uco.es/estudios/idep/agroecologia / https://www.upo.es/postgrado/Master-Oficial-Agroecologia-Un-Enfoque-de-Transformacion-Sustentable-de-los-Sistemas-Agroalimentarios/</w:t>
              </w:r>
            </w:hyperlink>
          </w:p>
        </w:tc>
      </w:tr>
      <w:tr>
        <w:trPr/>
        <w:tc>
          <w:tcPr>
            <w:tcW w:w="2445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val="es-ES" w:eastAsia="zh-CN" w:bidi="hi-IN"/>
              </w:rPr>
              <w:t> Idioma/s de impartición</w:t>
            </w:r>
          </w:p>
        </w:tc>
        <w:tc>
          <w:tcPr>
            <w:tcW w:w="7335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contextualSpacing/>
              <w:jc w:val="left"/>
              <w:rPr>
                <w:u w:val="none"/>
              </w:rPr>
            </w:pPr>
            <w:r>
              <w:rPr>
                <w:rFonts w:eastAsia="Calibri" w:cs="Calibri" w:cstheme="minorHAnsi"/>
                <w:b w:val="false"/>
                <w:bCs w:val="false"/>
                <w:color w:val="00000A"/>
                <w:sz w:val="22"/>
                <w:szCs w:val="22"/>
                <w:u w:val="none"/>
                <w:lang w:val="es-ES" w:eastAsia="en-US" w:bidi="ar-SA"/>
              </w:rPr>
              <w:t xml:space="preserve">Español</w:t>
            </w:r>
          </w:p>
          <w:p>
            <w:pPr>
              <w:pStyle w:val="Normal"/>
              <w:widowControl w:val="false"/>
              <w:spacing w:lineRule="auto" w:line="240" w:before="0" w:after="0"/>
              <w:contextualSpacing/>
              <w:jc w:val="left"/>
              <w:rPr>
                <w:u w:val="none"/>
              </w:rPr>
            </w:pPr>
            <w:r>
              <w:rPr>
                <w:rFonts w:eastAsia="Calibri" w:cs="Calibri" w:cstheme="minorHAnsi"/>
                <w:b w:val="false"/>
                <w:bCs w:val="false"/>
                <w:color w:val="00000A"/>
                <w:sz w:val="22"/>
                <w:szCs w:val="22"/>
                <w:u w:val="none"/>
                <w:lang w:val="es-ES" w:eastAsia="en-US" w:bidi="ar-SA"/>
              </w:rPr>
              <w:t/>
            </w:r>
          </w:p>
        </w:tc>
      </w:tr>
    </w:tbl>
    <w:p>
      <w:pPr>
        <w:pStyle w:val="Normal"/>
        <w:rPr>
          <w:sz w:val="40"/>
          <w:szCs w:val="40"/>
        </w:rPr>
      </w:pPr>
      <w:r>
        <w:rPr>
          <w:sz w:val="40"/>
          <w:szCs w:val="40"/>
        </w:rPr>
      </w:r>
    </w:p>
    <w:tbl>
      <w:tblPr>
        <w:tblW w:w="9808" w:type="dxa"/>
        <w:jc w:val="left"/>
        <w:tblInd w:w="-561" w:type="dxa"/>
        <w:tblCellMar>
          <w:top w:w="55" w:type="dxa"/>
          <w:left w:w="55" w:type="dxa"/>
          <w:bottom w:w="55" w:type="dxa"/>
          <w:right w:w="55" w:type="dxa"/>
        </w:tblCellMar>
        <w:tblLook w:val="04a0" w:noHBand="0" w:noVBand="1" w:firstColumn="1" w:lastRow="0" w:lastColumn="0" w:firstRow="1"/>
      </w:tblPr>
      <w:tblGrid>
        <w:gridCol w:w="3714"/>
        <w:gridCol w:w="2111"/>
        <w:gridCol w:w="2113"/>
        <w:gridCol w:w="1869"/>
      </w:tblGrid>
      <w:tr>
        <w:trPr/>
        <w:tc>
          <w:tcPr>
            <w:tcW w:w="980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FBFBF" w:themeFill="background1" w:themeFillShade="bf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ascii="Calibri" w:hAnsi="Calibri"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val="es-ES"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val="es-ES" w:eastAsia="zh-CN" w:bidi="hi-IN"/>
              </w:rPr>
              <w:t>Responsable/s de la asignatura</w:t>
            </w:r>
          </w:p>
        </w:tc>
      </w:tr>
      <w:tr>
        <w:trPr/>
        <w:tc>
          <w:tcPr>
            <w:tcW w:w="3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Nombre y apellidos</w:t>
            </w:r>
          </w:p>
        </w:tc>
        <w:tc>
          <w:tcPr>
            <w:tcW w:w="2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themeFill="background1"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Email</w:t>
            </w:r>
          </w:p>
        </w:tc>
        <w:tc>
          <w:tcPr>
            <w:tcW w:w="2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ascii="Calibri" w:hAnsi="Calibri"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val="es-ES"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val="es-ES" w:eastAsia="zh-CN" w:bidi="hi-IN"/>
              </w:rPr>
              <w:t>Universidad</w:t>
            </w: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Créditos</w:t>
            </w:r>
          </w:p>
        </w:tc>
      </w:tr>
      <w:tr>
        <w:trPr/>
        <w:tc>
          <w:tcPr>
            <w:tcW w:w="37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>Juan Infante Amate</w:t>
            </w:r>
          </w:p>
        </w:tc>
        <w:tc>
          <w:tcPr>
            <w:tcW w:w="2111" w:type="dxa"/>
            <w:tcBorders>
              <w:left w:val="single" w:sz="4" w:space="0" w:color="000000"/>
              <w:bottom w:val="single" w:sz="4" w:space="0" w:color="000000"/>
            </w:tcBorders>
            <w:shd w:color="auto" w:fill="FFFFFF" w:themeFill="background1" w:val="clear"/>
            <w:tcMar>
              <w:top w:w="0" w:type="dxa"/>
              <w:left w:w="113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***</w:t>
            </w:r>
          </w:p>
        </w:tc>
        <w:tc>
          <w:tcPr>
            <w:tcW w:w="211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13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UNIVERSIDAD DE GRANADA</w:t>
            </w:r>
          </w:p>
        </w:tc>
        <w:tc>
          <w:tcPr>
            <w:tcW w:w="18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1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1.00</w:t>
            </w:r>
          </w:p>
        </w:tc>
      </w:tr>
    </w:tbl>
    <w:p>
      <w:pPr>
        <w:pStyle w:val="Normal"/>
        <w:rPr>
          <w:rFonts w:eastAsia="Arial" w:cs="Calibri" w:cstheme="minorHAnsi"/>
          <w:sz w:val="22"/>
          <w:szCs w:val="22"/>
          <w:u w:val="none"/>
        </w:rPr>
      </w:pPr>
      <w:r>
        <w:rPr>
          <w:rFonts w:eastAsia="Arial" w:cs="Calibri" w:cstheme="minorHAnsi"/>
          <w:sz w:val="22"/>
          <w:szCs w:val="22"/>
          <w:u w:val="none"/>
        </w:rPr>
      </w:r>
    </w:p>
    <w:tbl>
      <w:tblPr>
        <w:tblW w:w="9807" w:type="dxa"/>
        <w:jc w:val="left"/>
        <w:tblInd w:w="-561" w:type="dxa"/>
        <w:tblCellMar>
          <w:top w:w="55" w:type="dxa"/>
          <w:left w:w="55" w:type="dxa"/>
          <w:bottom w:w="55" w:type="dxa"/>
          <w:right w:w="55" w:type="dxa"/>
        </w:tblCellMar>
        <w:tblLook w:val="04a0" w:noHBand="0" w:noVBand="1" w:firstColumn="1" w:lastRow="0" w:lastColumn="0" w:firstRow="1"/>
      </w:tblPr>
      <w:tblGrid>
        <w:gridCol w:w="3709"/>
        <w:gridCol w:w="2117"/>
        <w:gridCol w:w="2111"/>
        <w:gridCol w:w="1869"/>
      </w:tblGrid>
      <w:tr>
        <w:trPr/>
        <w:tc>
          <w:tcPr>
            <w:tcW w:w="980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FBFBF" w:themeFill="background1" w:themeFillShade="bf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Profesorado</w:t>
            </w:r>
          </w:p>
        </w:tc>
      </w:tr>
      <w:tr>
        <w:trPr/>
        <w:tc>
          <w:tcPr>
            <w:tcW w:w="3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Nombre y apellidos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themeFill="background1"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Email</w:t>
            </w:r>
          </w:p>
        </w:tc>
        <w:tc>
          <w:tcPr>
            <w:tcW w:w="2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ascii="Calibri" w:hAnsi="Calibri"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val="es-ES"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val="es-ES" w:eastAsia="zh-CN" w:bidi="hi-IN"/>
              </w:rPr>
              <w:t>Universidad</w:t>
            </w:r>
          </w:p>
        </w:tc>
        <w:tc>
          <w:tcPr>
            <w:tcW w:w="18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Créditos</w:t>
            </w:r>
          </w:p>
        </w:tc>
      </w:tr>
      <w:tr>
        <w:trPr/>
        <w:tc>
          <w:tcPr>
            <w:tcW w:w="3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>Eduardo Manuel Aguilera Fernández</w:t>
            </w:r>
          </w:p>
        </w:tc>
        <w:tc>
          <w:tcPr>
            <w:tcW w:w="2117" w:type="dxa"/>
            <w:tcBorders>
              <w:left w:val="single" w:sz="4" w:space="0" w:color="000000"/>
              <w:bottom w:val="single" w:sz="4" w:space="0" w:color="000000"/>
            </w:tcBorders>
            <w:shd w:color="auto" w:fill="FFFFFF" w:themeFill="background1" w:val="clear"/>
            <w:tcMar>
              <w:top w:w="0" w:type="dxa"/>
              <w:left w:w="113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***</w:t>
            </w:r>
          </w:p>
        </w:tc>
        <w:tc>
          <w:tcPr>
            <w:tcW w:w="2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13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UNIVERSIDAD POLITECNICA DE MADRID</w:t>
            </w:r>
          </w:p>
        </w:tc>
        <w:tc>
          <w:tcPr>
            <w:tcW w:w="18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1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1.00</w:t>
            </w:r>
          </w:p>
        </w:tc>
      </w:tr>
      <w:tr>
        <w:trPr/>
        <w:tc>
          <w:tcPr>
            <w:tcW w:w="3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>Gloria Guzmán Casado</w:t>
            </w:r>
          </w:p>
        </w:tc>
        <w:tc>
          <w:tcPr>
            <w:tcW w:w="2117" w:type="dxa"/>
            <w:tcBorders>
              <w:left w:val="single" w:sz="4" w:space="0" w:color="000000"/>
              <w:bottom w:val="single" w:sz="4" w:space="0" w:color="000000"/>
            </w:tcBorders>
            <w:shd w:color="auto" w:fill="FFFFFF" w:themeFill="background1" w:val="clear"/>
            <w:tcMar>
              <w:top w:w="0" w:type="dxa"/>
              <w:left w:w="113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***</w:t>
            </w:r>
          </w:p>
        </w:tc>
        <w:tc>
          <w:tcPr>
            <w:tcW w:w="2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13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UNIVERSIDAD PABLO DE OLAVIDE</w:t>
            </w:r>
          </w:p>
        </w:tc>
        <w:tc>
          <w:tcPr>
            <w:tcW w:w="18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1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1.00</w:t>
            </w:r>
          </w:p>
        </w:tc>
      </w:tr>
      <w:tr>
        <w:trPr/>
        <w:tc>
          <w:tcPr>
            <w:tcW w:w="3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>Juan Infante Amate</w:t>
            </w:r>
          </w:p>
        </w:tc>
        <w:tc>
          <w:tcPr>
            <w:tcW w:w="2117" w:type="dxa"/>
            <w:tcBorders>
              <w:left w:val="single" w:sz="4" w:space="0" w:color="000000"/>
              <w:bottom w:val="single" w:sz="4" w:space="0" w:color="000000"/>
            </w:tcBorders>
            <w:shd w:color="auto" w:fill="FFFFFF" w:themeFill="background1" w:val="clear"/>
            <w:tcMar>
              <w:top w:w="0" w:type="dxa"/>
              <w:left w:w="113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***</w:t>
            </w:r>
          </w:p>
        </w:tc>
        <w:tc>
          <w:tcPr>
            <w:tcW w:w="21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13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UNIVERSIDAD DE GRANADA</w:t>
            </w:r>
          </w:p>
        </w:tc>
        <w:tc>
          <w:tcPr>
            <w:tcW w:w="18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  <w:tcMar>
              <w:top w:w="0" w:type="dxa"/>
              <w:left w:w="11" w:type="dxa"/>
              <w:bottom w:w="0" w:type="dxa"/>
              <w:right w:w="113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1.00</w:t>
            </w:r>
          </w:p>
        </w:tc>
      </w:tr>
      <w:tr>
        <w:trPr/>
        <w:tc>
          <w:tcPr>
            <w:tcW w:w="9806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FBFBF" w:themeFill="background1" w:themeFillShade="bf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TUTORIAS: Horario y localización</w:t>
            </w:r>
          </w:p>
        </w:tc>
      </w:tr>
      <w:tr>
        <w:trPr/>
        <w:tc>
          <w:tcPr>
            <w:tcW w:w="9806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rmal"/>
              <w:widowControl w:val="false"/>
              <w:spacing w:before="0" w:after="160"/>
              <w:contextualSpacing/>
              <w:rPr>
                <w:rFonts w:eastAsia="NSimSun" w:cs="Calibri" w:cstheme="minorHAnsi"/>
                <w:b/>
                <w:b/>
                <w:color w:val="000000"/>
                <w:kern w:val="2"/>
                <w:lang w:eastAsia="zh-CN" w:bidi="hi-IN"/>
              </w:rPr>
            </w:pPr>
            <w:r>
              <w:rPr/>
              <w:t xml:space="preserve"/>
            </w:r>
            <w:r>
              <w:rPr>
                <w:sz w:val="22"/>
                <w:szCs w:val="22"/>
              </w:rPr>
              <w:t xml:space="preserve">Tutorías/seminarios: miércoles y jueves tarde: 17-19:30
</w:t>
              <w:br/>
              <w:t xml:space="preserve"/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Despacho profesorado</w:t>
            </w:r>
            <w:r>
              <w:t xml:space="preserve"/>
            </w:r>
          </w:p>
        </w:tc>
      </w:tr>
    </w:tbl>
    <w:p>
      <w:pPr>
        <w:pStyle w:val="Normal"/>
        <w:widowControl w:val="false"/>
        <w:suppressAutoHyphens w:val="true"/>
        <w:bidi w:val="0"/>
        <w:spacing w:lineRule="auto" w:line="259" w:before="0" w:after="160"/>
        <w:ind w:left="0" w:right="0" w:hanging="567"/>
        <w:contextualSpacing/>
        <w:jc w:val="left"/>
        <w:rPr>
          <w:rFonts w:eastAsia="NSimSun" w:cs="Calibri" w:cstheme="minorHAnsi"/>
          <w:b/>
          <w:b/>
          <w:color w:val="000000"/>
          <w:kern w:val="2"/>
          <w:lang w:eastAsia="zh-CN" w:bidi="hi-IN"/>
        </w:rPr>
      </w:pPr>
      <w:r>
        <w:rPr>
          <w:rFonts w:eastAsia="NSimSun" w:cs="Calibri" w:cstheme="minorHAnsi"/>
          <w:b/>
          <w:color w:val="000000"/>
          <w:kern w:val="2"/>
          <w:lang w:eastAsia="zh-CN" w:bidi="hi-IN"/>
        </w:rPr>
      </w:r>
    </w:p>
    <w:p>
      <w:pPr>
        <w:pStyle w:val="Normal"/>
        <w:widowControl w:val="false"/>
        <w:suppressAutoHyphens w:val="true"/>
        <w:bidi w:val="0"/>
        <w:spacing w:lineRule="auto" w:line="259" w:before="0" w:after="160"/>
        <w:ind w:left="0" w:right="0" w:hanging="567"/>
        <w:contextualSpacing/>
        <w:jc w:val="left"/>
        <w:rPr>
          <w:rFonts w:eastAsia="NSimSun" w:cs="Calibri" w:cstheme="minorHAnsi"/>
          <w:b/>
          <w:b/>
          <w:color w:val="000000"/>
          <w:kern w:val="2"/>
          <w:lang w:eastAsia="zh-CN" w:bidi="hi-IN"/>
        </w:rPr>
      </w:pPr>
      <w:r>
        <w:rPr>
          <w:rFonts w:eastAsia="NSimSun" w:cs="Calibri" w:cstheme="minorHAnsi"/>
          <w:b w:val="false"/>
          <w:bCs w:val="false"/>
          <w:color w:val="000000"/>
          <w:kern w:val="2"/>
          <w:sz w:val="22"/>
          <w:szCs w:val="22"/>
          <w:lang w:eastAsia="zh-CN" w:bidi="hi-IN"/>
        </w:rPr>
        <w:t/>
      </w:r>
    </w:p>
    <w:tbl>
      <w:tblPr>
        <w:tblW w:w="9807" w:type="dxa"/>
        <w:jc w:val="left"/>
        <w:tblInd w:w="-561" w:type="dxa"/>
        <w:tblCellMar>
          <w:top w:w="55" w:type="dxa"/>
          <w:left w:w="55" w:type="dxa"/>
          <w:bottom w:w="55" w:type="dxa"/>
          <w:right w:w="55" w:type="dxa"/>
        </w:tblCellMar>
        <w:tblLook w:val="04a0" w:noHBand="0" w:noVBand="1" w:firstColumn="1" w:lastRow="0" w:lastColumn="0" w:firstRow="1"/>
      </w:tblPr>
      <w:tblGrid>
        <w:gridCol w:w="3682"/>
        <w:gridCol w:w="6124"/>
      </w:tblGrid>
      <w:tr>
        <w:trPr/>
        <w:tc>
          <w:tcPr>
            <w:tcW w:w="98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FBFBF" w:themeFill="background1" w:themeFillShade="bf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RESULTADOS DEL PROCESO DE FORMACIÓN Y APRENDIZAJE</w:t>
            </w:r>
          </w:p>
        </w:tc>
      </w:tr>
      <w:tr>
        <w:trPr/>
        <w:tc>
          <w:tcPr>
            <w:tcW w:w="3682" w:type="dxa"/>
            <w:tcBorders>
              <w:left w:val="single" w:sz="4" w:space="0" w:color="000000"/>
              <w:bottom w:val="single" w:sz="4" w:space="0" w:color="000000"/>
            </w:tcBorders>
            <w:shd w:fill="92D050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ascii="Calibri" w:hAnsi="Calibri" w:eastAsia="Calibri" w:cs="" w:asciiTheme="minorHAnsi" w:cstheme="minorBidi" w:eastAsiaTheme="minorHAnsi" w:hAnsiTheme="minorHAnsi"/>
                <w:color w:val="auto"/>
                <w:kern w:val="0"/>
                <w:sz w:val="22"/>
                <w:szCs w:val="22"/>
                <w:lang w:val="es-ES" w:eastAsia="en-US" w:bidi="ar-SA"/>
              </w:rPr>
            </w:pPr>
            <w:r>
              <w:rPr>
                <w:rFonts w:eastAsia="Calibri" w:cs="" w:cstheme="minorBidi" w:eastAsiaTheme="minorHAnsi"/>
                <w:color w:val="auto"/>
                <w:kern w:val="0"/>
                <w:sz w:val="22"/>
                <w:szCs w:val="22"/>
                <w:lang w:val="es-ES" w:eastAsia="en-US" w:bidi="ar-SA"/>
              </w:rPr>
              <w:t>Conocimientos o contenidos</w:t>
            </w:r>
          </w:p>
        </w:tc>
        <w:tc>
          <w:tcPr>
            <w:tcW w:w="61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 xml:space="preserve"/>
            </w:r>
            <w:r>
              <w:rPr>
                <w:sz w:val="22"/>
                <w:szCs w:val="22"/>
              </w:rPr>
              <w:t xml:space="preserve">C01 Conoce los principios y las bases científicas de la Agroecología como instrumento de transformación sustentable de los sistemas agroalimentarios.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C02 Conoce las bases sociológicas y antropológicas que permiten analizar la estructura y  funcionamiento de los sistemas alimentarios, así como la dimensión social y participativa de la Agroecología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C03 Conoce las bases ecológicas del funcionamiento de los agroecosistemas y su aplicación como base para el diseño de sistema agrarios sustentables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C04 Conoce las bases agronómicas del funcionamiento de los agroecosistemas y su aplicación como base para el diseño de sistema agrarios sustentables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C05 Conoce los principios básicos del análisis económico aplicados a la actividad agraria y alimentaria desde el punto de vista de la economía ecológica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C06 Conoce los fundamentos de la relación entre biodiversidad y diversidad cultural, aplicada al manejo de agroecosistemas y sistemas alimentarios.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C7 Conoce los principios básicos del análisis político-institucional aplicado a la actividad agraria y alimentaria desde el punto de vista de la Ecología Política, con especial hincapié en el papel del Estado y de los movimientos sociales en su regulación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C8 Conoce las propuestas teóricas y los instrumentos prácticos propuestos para el diseño de la transición agroecológica.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C9 Conoce las causas sociológicas, económica e institucionales de la crisis alimentaria global y los principios que deben guiar la construcción de sistemas agroalimentarios sustentables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C10 Conoce las diferentes perspectivas feministas y su aplicación al análisis de los sistemas agroalimentarios </w:t>
            </w:r>
            <w:r>
              <w:t xml:space="preserve"/>
              <w:br/>
              <w:t xml:space="preserve"/>
            </w:r>
            <w:r>
              <w:t xml:space="preserve"/>
              <w:br/>
              <w:t xml:space="preserve"/>
            </w:r>
            <w:r>
              <w:t xml:space="preserve"/>
            </w:r>
          </w:p>
        </w:tc>
      </w:tr>
      <w:tr>
        <w:trPr/>
        <w:tc>
          <w:tcPr>
            <w:tcW w:w="3682" w:type="dxa"/>
            <w:tcBorders>
              <w:left w:val="single" w:sz="4" w:space="0" w:color="000000"/>
              <w:bottom w:val="single" w:sz="4" w:space="0" w:color="000000"/>
            </w:tcBorders>
            <w:shd w:fill="92D050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ascii="Calibri" w:hAnsi="Calibri" w:eastAsia="Calibri" w:cs="" w:asciiTheme="minorHAnsi" w:cstheme="minorBidi" w:eastAsiaTheme="minorHAnsi" w:hAnsiTheme="minorHAnsi"/>
                <w:color w:val="auto"/>
                <w:kern w:val="0"/>
                <w:sz w:val="22"/>
                <w:szCs w:val="22"/>
                <w:lang w:val="es-ES" w:eastAsia="en-US" w:bidi="ar-SA"/>
              </w:rPr>
            </w:pPr>
            <w:r>
              <w:rPr>
                <w:rFonts w:eastAsia="Calibri" w:cs="" w:cstheme="minorBidi" w:eastAsiaTheme="minorHAnsi"/>
                <w:color w:val="auto"/>
                <w:kern w:val="0"/>
                <w:sz w:val="22"/>
                <w:szCs w:val="22"/>
                <w:lang w:val="es-ES" w:eastAsia="en-US" w:bidi="ar-SA"/>
              </w:rPr>
              <w:t>Competencias</w:t>
            </w:r>
          </w:p>
        </w:tc>
        <w:tc>
          <w:tcPr>
            <w:tcW w:w="61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 xml:space="preserve"/>
            </w:r>
            <w:r>
              <w:rPr>
                <w:sz w:val="22"/>
                <w:szCs w:val="22"/>
              </w:rPr>
              <w:t xml:space="preserve">COM01 Analizar los contenidos de las lecturas realizadas, sintetizar dichos contenidos para la identificación de conceptos clave.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COM02 Ser capaz de desarrollar adecuadamente la comunicación escrita y oral, la exposición ordenada de ideas, la justificación lógica y argumentativa, así como de relacionar conceptos generales con otros de índole más práctica.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COM03 Capacidad de compromiso ético con la transformación sustentable del régimen alimentario, tal y como propugna la agroecología.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COM04 Integrar aspectos sociales, económicos, culturales, agronómicos y ecológicos en el diseño de la transición agroecológica.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COM05 Identificar la reproducción de las desigualdades de género en la realidad social agroecológica en el ámbito de los sistemas agroalimentarios.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COM06 Realizar una reflexión autocrítica de las relaciones de poder en las investigaciones, incorporando en sus reflexiones teóricas y en sus prácticas críticas de las relaciones autoritarias y del patriarcado.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COM07 Plantear y desarrollar proyectos comunitarios de transformación o mantenimiento agroecológicos individualmente, en equipo, en investigación-acción participativa </w:t>
            </w:r>
            <w:r>
              <w:t xml:space="preserve"/>
              <w:br/>
              <w:t xml:space="preserve"/>
            </w:r>
            <w:r>
              <w:t xml:space="preserve"/>
              <w:br/>
              <w:t xml:space="preserve"/>
            </w:r>
            <w:r>
              <w:t xml:space="preserve"/>
            </w:r>
          </w:p>
        </w:tc>
      </w:tr>
      <w:tr>
        <w:trPr/>
        <w:tc>
          <w:tcPr>
            <w:tcW w:w="3682" w:type="dxa"/>
            <w:tcBorders>
              <w:left w:val="single" w:sz="4" w:space="0" w:color="000000"/>
              <w:bottom w:val="single" w:sz="4" w:space="0" w:color="000000"/>
            </w:tcBorders>
            <w:shd w:fill="92D050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ascii="Calibri" w:hAnsi="Calibri" w:eastAsia="Calibri" w:cs="" w:asciiTheme="minorHAnsi" w:cstheme="minorBidi" w:eastAsiaTheme="minorHAnsi" w:hAnsiTheme="minorHAnsi"/>
                <w:color w:val="auto"/>
                <w:kern w:val="0"/>
                <w:sz w:val="22"/>
                <w:szCs w:val="22"/>
                <w:lang w:val="es-ES" w:eastAsia="en-US" w:bidi="ar-SA"/>
              </w:rPr>
            </w:pPr>
            <w:r>
              <w:rPr>
                <w:rFonts w:eastAsia="Calibri" w:cs="" w:cstheme="minorBidi" w:eastAsiaTheme="minorHAnsi"/>
                <w:color w:val="auto"/>
                <w:kern w:val="0"/>
                <w:sz w:val="22"/>
                <w:szCs w:val="22"/>
                <w:lang w:val="es-ES" w:eastAsia="en-US" w:bidi="ar-SA"/>
              </w:rPr>
              <w:t>Habilidades o destrezas</w:t>
            </w:r>
          </w:p>
        </w:tc>
        <w:tc>
          <w:tcPr>
            <w:tcW w:w="61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 xml:space="preserve"/>
            </w:r>
            <w:r>
              <w:rPr>
                <w:sz w:val="22"/>
                <w:szCs w:val="22"/>
              </w:rPr>
              <w:t xml:space="preserve">HD01 Maneja las distintas perspectivas teóricas, metodológicas y las técnicas de investigación social aplicada a la Agroecología.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HD02 Conoce las principales metodologías para el análisis económico y ambiental de agroecosistemas, con especial atención a los instrumentos de evaluación de la sustentabilidad.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HD03 Diseña agroecosistemas que aúnen capacidad de producir alimentos y/u otros bienes y servicios, con un alto grado de resilencia y autonomía y mantenimiento de la biodiversidad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HD04 Desarrolla proyectos comunitarios de transformación o mantenimiento agroecológicos individualmente, en equipo, en investigación-acción participativa, con especial atención al desarrollo rural sustentable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HD05 Maneja y aplica teorías y conceptos de la ecología política, economía ecológica y técnicas de estimulación de la participación social en la toma de decisiones agroambientales.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HD06 Maneja metodologías, herramientas y enfoques organizativos feministas, orientados a eliminar las desigualdades y a construir nuevas relaciones de género; aplica la perspectiva feminista al análisis de las experiencias agroecológicas concretas.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HD07 Diagnostica y resuelve metodológicamente problemas agroecológicos y elabora informes y prospectivas de implantación de prácticas sustentables en los agroecosistemas y los sistemas agroalimentarios.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HD08 Desarrolla un trabajo de campo de acuerdo a un buen diseño y aplicación correcta de las técnicas de investigación-acción-participativa </w:t>
            </w:r>
            <w:r>
              <w:t xml:space="preserve"/>
              <w:br/>
              <w:t xml:space="preserve"/>
            </w:r>
            <w:r>
              <w:t xml:space="preserve"/>
              <w:br/>
              <w:t xml:space="preserve"/>
            </w:r>
            <w:r>
              <w:t xml:space="preserve"/>
            </w:r>
          </w:p>
        </w:tc>
      </w:tr>
    </w:tbl>
    <w:p>
      <w:pPr>
        <w:pStyle w:val="Normal"/>
        <w:widowControl w:val="false"/>
        <w:suppressLineNumbers/>
        <w:suppressAutoHyphens w:val="true"/>
        <w:bidi w:val="0"/>
        <w:spacing w:lineRule="auto" w:line="240" w:before="0" w:after="0"/>
        <w:ind w:left="0" w:right="0" w:hanging="624"/>
        <w:contextualSpacing/>
        <w:jc w:val="left"/>
        <w:textAlignment w:val="baseline"/>
        <w:rPr>
          <w:b w:val="false"/>
          <w:b w:val="false"/>
          <w:bCs w:val="false"/>
        </w:rPr>
      </w:pPr>
      <w:r>
        <w:rPr>
          <w:rFonts w:eastAsia="NSimSun" w:cs="Calibri" w:cstheme="minorHAnsi"/>
          <w:b w:val="false"/>
          <w:bCs w:val="false"/>
          <w:color w:val="000000"/>
          <w:kern w:val="2"/>
          <w:sz w:val="24"/>
          <w:szCs w:val="24"/>
          <w:lang w:eastAsia="zh-CN" w:bidi="hi-IN"/>
        </w:rPr>
        <w:t/>
      </w:r>
    </w:p>
    <w:tbl>
      <w:tblPr>
        <w:tblW w:w="9807" w:type="dxa"/>
        <w:jc w:val="left"/>
        <w:tblInd w:w="-561" w:type="dxa"/>
        <w:tblCellMar>
          <w:top w:w="55" w:type="dxa"/>
          <w:left w:w="55" w:type="dxa"/>
          <w:bottom w:w="55" w:type="dxa"/>
          <w:right w:w="55" w:type="dxa"/>
        </w:tblCellMar>
        <w:tblLook w:val="04a0" w:noHBand="0" w:noVBand="1" w:firstColumn="1" w:lastRow="0" w:lastColumn="0" w:firstRow="1"/>
      </w:tblPr>
      <w:tblGrid>
        <w:gridCol w:w="3009"/>
        <w:gridCol w:w="2413"/>
        <w:gridCol w:w="2411"/>
        <w:gridCol w:w="104"/>
        <w:gridCol w:w="1869"/>
      </w:tblGrid>
      <w:tr>
        <w:trPr/>
        <w:tc>
          <w:tcPr>
            <w:tcW w:w="980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FBFBF" w:themeFill="background1" w:themeFillShade="bf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DESCRIPTORES DE CONTENIDOS</w:t>
            </w:r>
          </w:p>
        </w:tc>
      </w:tr>
      <w:tr>
        <w:trPr/>
        <w:tc>
          <w:tcPr>
            <w:tcW w:w="980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 xml:space="preserve"/>
            </w:r>
            <w:r>
              <w:rPr>
                <w:sz w:val="22"/>
                <w:szCs w:val="22"/>
                <w:b/>
              </w:rPr>
              <w:t xml:space="preserve">Clases teóricas:     1. Introducción a las metodologías del Metabolismo Social    2. Metodologías y fuentes para el estudio del Metabolismo Social.    3. Introducción al Metabolismo Agrario.    4. Metodologías y fuentes para el estudio del Metabolismo Agrario.    5. Metabolismo energético de los agroecosistemas.    6.  EORIs Agroecológicos.    7. Agricultura y cambio climático: mitigación y adaptación.    8. Análisis del Ciclo de Vida y huella de carbono de productos agrícolasClases prácticas:1) Ejercicio práctico con fuentes online sobre indicadores de metabolismo agrario.2) Ejercicio práctico sobre cálculo de EROIs agroecológicos.3) Ejercicio práctico sobre estimación de huella de carbono de productos agrícolas.Actividades dirigidas:Seminario: Puesta en común del estudio realizado en grupo, debate de las metodologías y resultados.</w:t>
            </w:r>
            <w:r>
              <w:t xml:space="preserve"/>
            </w:r>
          </w:p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4"/>
                <w:szCs w:val="24"/>
                <w:lang w:eastAsia="zh-CN" w:bidi="hi-IN"/>
              </w:rPr>
            </w:r>
          </w:p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4"/>
                <w:szCs w:val="24"/>
                <w:lang w:eastAsia="zh-CN" w:bidi="hi-IN"/>
              </w:rPr>
            </w:r>
          </w:p>
        </w:tc>
      </w:tr>
      <w:tr>
        <w:trPr/>
        <w:tc>
          <w:tcPr>
            <w:tcW w:w="980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FBFBF" w:themeFill="background1" w:themeFillShade="bf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ACTIVIDADES FORMATIVAS Y METODOLOGÍAS DOCENTES</w:t>
            </w:r>
          </w:p>
        </w:tc>
      </w:tr>
      <w:tr>
        <w:trPr/>
        <w:tc>
          <w:tcPr>
            <w:tcW w:w="980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  <w:t xml:space="preserve"/>
            </w:r>
            <w:r>
              <w:t xml:space="preserve"/>
            </w:r>
          </w:p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r>
          </w:p>
        </w:tc>
      </w:tr>
      <w:tr>
        <w:trPr/>
        <w:tc>
          <w:tcPr>
            <w:tcW w:w="3009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0"/>
                <w:szCs w:val="20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0"/>
                <w:szCs w:val="20"/>
                <w:lang w:eastAsia="zh-CN" w:bidi="hi-IN"/>
              </w:rPr>
              <w:t>Actividad formativa</w:t>
            </w:r>
          </w:p>
        </w:tc>
        <w:tc>
          <w:tcPr>
            <w:tcW w:w="2413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0"/>
                <w:szCs w:val="20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0"/>
                <w:szCs w:val="20"/>
                <w:lang w:eastAsia="zh-CN" w:bidi="hi-IN"/>
              </w:rPr>
              <w:t>Modalidad de enseñanza</w:t>
            </w:r>
          </w:p>
        </w:tc>
        <w:tc>
          <w:tcPr>
            <w:tcW w:w="2411" w:type="dxa"/>
            <w:tcBorders>
              <w:left w:val="single" w:sz="4" w:space="0" w:color="000000"/>
              <w:bottom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0"/>
                <w:szCs w:val="20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0"/>
                <w:szCs w:val="20"/>
                <w:lang w:eastAsia="zh-CN" w:bidi="hi-IN"/>
              </w:rPr>
              <w:t>Dedicación</w:t>
            </w:r>
          </w:p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color w:val="000000"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18"/>
                <w:szCs w:val="18"/>
                <w:lang w:eastAsia="zh-CN" w:bidi="hi-IN"/>
              </w:rPr>
              <w:t>(horas de trabajo autónomo del estudiante)</w:t>
            </w:r>
          </w:p>
        </w:tc>
        <w:tc>
          <w:tcPr>
            <w:tcW w:w="197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92D050" w:val="clear"/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0"/>
                <w:szCs w:val="20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0"/>
                <w:szCs w:val="20"/>
                <w:lang w:eastAsia="zh-CN" w:bidi="hi-IN"/>
              </w:rPr>
              <w:t>Dedicación</w:t>
            </w:r>
          </w:p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color w:val="000000"/>
                <w:kern w:val="2"/>
                <w:sz w:val="18"/>
                <w:szCs w:val="18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18"/>
                <w:szCs w:val="18"/>
                <w:lang w:eastAsia="zh-CN" w:bidi="hi-IN"/>
              </w:rPr>
              <w:t>(horas de trabajo lectivas del estudiante con apoyo del profesor)</w:t>
            </w:r>
          </w:p>
        </w:tc>
      </w:tr>
      <w:tr>
        <w:trPr/>
        <w:tc>
          <w:tcPr>
            <w:tcW w:w="3009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 xml:space="preserve">Actividades expositivas y prácticas (presenciales, síncronas y/o asíncronas)</w:t>
            </w:r>
          </w:p>
        </w:tc>
        <w:tc>
          <w:tcPr>
            <w:tcW w:w="2413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cs="Calibri" w:cstheme="minorHAnsi"/>
                <w:sz w:val="22"/>
                <w:szCs w:val="22"/>
              </w:rPr>
              <w:t>PRESENCIAL</w:t>
            </w:r>
          </w:p>
        </w:tc>
        <w:tc>
          <w:tcPr>
            <w:tcW w:w="2411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cs="Calibri" w:cstheme="minorHAnsi"/>
                <w:sz w:val="22"/>
                <w:szCs w:val="22"/>
              </w:rPr>
              <w:t>0</w:t>
            </w:r>
          </w:p>
        </w:tc>
        <w:tc>
          <w:tcPr>
            <w:tcW w:w="197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napToGrid w:val="fals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>20</w:t>
            </w:r>
          </w:p>
        </w:tc>
      </w:tr>
      <w:tr>
        <w:trPr/>
        <w:tc>
          <w:tcPr>
            <w:tcW w:w="3009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 xml:space="preserve">Actividades dirigidas y/o supervisadas académicamente</w:t>
            </w:r>
          </w:p>
        </w:tc>
        <w:tc>
          <w:tcPr>
            <w:tcW w:w="2413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cs="Calibri" w:cstheme="minorHAnsi"/>
                <w:sz w:val="22"/>
                <w:szCs w:val="22"/>
              </w:rPr>
              <w:t>PRESENCIAL</w:t>
            </w:r>
          </w:p>
        </w:tc>
        <w:tc>
          <w:tcPr>
            <w:tcW w:w="2411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cs="Calibri" w:cstheme="minorHAnsi"/>
                <w:sz w:val="22"/>
                <w:szCs w:val="22"/>
              </w:rPr>
              <w:t>0</w:t>
            </w:r>
          </w:p>
        </w:tc>
        <w:tc>
          <w:tcPr>
            <w:tcW w:w="197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napToGrid w:val="fals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>10</w:t>
            </w:r>
          </w:p>
        </w:tc>
      </w:tr>
      <w:tr>
        <w:trPr/>
        <w:tc>
          <w:tcPr>
            <w:tcW w:w="3009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 xml:space="preserve">Actividades autónomas del estudiante</w:t>
            </w:r>
          </w:p>
        </w:tc>
        <w:tc>
          <w:tcPr>
            <w:tcW w:w="2413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cs="Calibri" w:cstheme="minorHAnsi"/>
                <w:sz w:val="22"/>
                <w:szCs w:val="22"/>
              </w:rPr>
              <w:t>SIN DETERMINAR</w:t>
            </w:r>
          </w:p>
        </w:tc>
        <w:tc>
          <w:tcPr>
            <w:tcW w:w="2411" w:type="dxa"/>
            <w:tcBorders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rFonts w:eastAsia="Arial" w:cs="Calibri" w:cstheme="minorHAnsi"/>
                <w:sz w:val="22"/>
                <w:szCs w:val="22"/>
                <w:u w:val="none"/>
              </w:rPr>
            </w:pPr>
            <w:r>
              <w:rPr>
                <w:rFonts w:cs="Calibri" w:cstheme="minorHAnsi"/>
                <w:sz w:val="22"/>
                <w:szCs w:val="22"/>
              </w:rPr>
              <w:t>45</w:t>
            </w:r>
          </w:p>
        </w:tc>
        <w:tc>
          <w:tcPr>
            <w:tcW w:w="1973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LineNumbers/>
              <w:suppressAutoHyphens w:val="true"/>
              <w:snapToGrid w:val="false"/>
              <w:spacing w:lineRule="auto" w:line="240" w:before="0" w:after="0"/>
              <w:contextualSpacing/>
              <w:textAlignment w:val="baseline"/>
              <w:rPr>
                <w:rFonts w:eastAsia="NSimSun" w:cs="Calibri" w:cstheme="minorHAnsi"/>
                <w:color w:val="000000"/>
                <w:kern w:val="2"/>
                <w:lang w:eastAsia="zh-CN" w:bidi="hi-IN"/>
              </w:rPr>
            </w:pPr>
            <w:r>
              <w:rPr>
                <w:rFonts w:eastAsia="NSimSun" w:cs="Calibri" w:cstheme="minorHAnsi"/>
                <w:color w:val="000000"/>
                <w:kern w:val="2"/>
                <w:sz w:val="22"/>
                <w:szCs w:val="22"/>
                <w:lang w:eastAsia="zh-CN" w:bidi="hi-IN"/>
              </w:rPr>
              <w:t>0</w:t>
            </w:r>
          </w:p>
        </w:tc>
      </w:tr>
      <w:tr>
        <w:trPr/>
        <w:tc>
          <w:tcPr>
            <w:tcW w:w="980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FBFBF" w:themeFill="background1" w:themeFillShade="bf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SISTEMA DE EVALUACIÓN</w:t>
            </w:r>
          </w:p>
        </w:tc>
      </w:tr>
      <w:tr>
        <w:trPr/>
        <w:tc>
          <w:tcPr>
            <w:tcW w:w="980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contextualSpacing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/>
              <w:t xml:space="preserve"/>
            </w:r>
            <w:r>
              <w:rPr>
                <w:sz w:val="22"/>
                <w:szCs w:val="22"/>
              </w:rPr>
              <w:t xml:space="preserve">La asignatura será evaluada a través de la realización de pruebas que muestren la habilidad adquirida en la práctica de las metodologías aprendidas en la asignatura; o alternativamente, la realización de un trabajo individual de reflexión y análisis utilizando las lecturas y los contenidos facilitados en clase y en la moodle. 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Al final de la asignatura habrá una actividad de debate y puesta en común de los contenidos y las principales aportaciones prácticas recogidas a partir de las prácticas en el aula .</w:t>
            </w:r>
            <w:r>
              <w:t xml:space="preserve"/>
            </w:r>
          </w:p>
        </w:tc>
      </w:tr>
      <w:tr>
        <w:trPr>
          <w:trHeight w:val="75" w:hRule="atLeast"/>
        </w:trPr>
        <w:tc>
          <w:tcPr>
            <w:tcW w:w="7937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FBFBF" w:themeFill="background1" w:themeFillShade="bf" w:val="clear"/>
            <w:vAlign w:val="center"/>
          </w:tcPr>
          <w:p>
            <w:pPr>
              <w:pStyle w:val="Normal"/>
              <w:widowControl w:val="false"/>
              <w:spacing w:before="0" w:after="0"/>
              <w:contextualSpacing/>
              <w:jc w:val="center"/>
              <w:rPr>
                <w:rFonts w:eastAsia="Tahoma" w:cs="Calibri"/>
                <w:b/>
                <w:b/>
                <w:sz w:val="26"/>
                <w:szCs w:val="26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2"/>
                <w:szCs w:val="22"/>
                <w:lang w:val="es-ES" w:eastAsia="zh-CN" w:bidi="hi-IN"/>
              </w:rPr>
              <w:t/>
            </w:r>
            <w:r>
              <w:rPr>
                <w:rFonts w:eastAsia="Tahoma" w:cs="Calibri" w:cstheme="minorHAnsi"/>
                <w:b/>
                <w:color w:val="000000"/>
                <w:kern w:val="2"/>
                <w:sz w:val="26"/>
                <w:szCs w:val="26"/>
                <w:lang w:val="es-ES" w:eastAsia="zh-CN" w:bidi="hi-IN"/>
              </w:rPr>
              <w:t>Estrategias/metodologías de evaluación</w:t>
            </w:r>
            <w:r>
              <w:rPr>
                <w:rFonts w:eastAsia="NSimSun" w:cs="Calibri" w:cstheme="minorHAnsi"/>
                <w:b/>
                <w:color w:val="000000"/>
                <w:kern w:val="2"/>
                <w:sz w:val="22"/>
                <w:szCs w:val="22"/>
                <w:lang w:val="es-ES" w:eastAsia="zh-CN" w:bidi="hi-IN"/>
              </w:rPr>
              <w:t/>
            </w:r>
          </w:p>
        </w:tc>
        <w:tc>
          <w:tcPr>
            <w:tcW w:w="18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BFBFBF" w:themeFill="background1" w:themeFillShade="bf" w:val="clear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Tahoma" w:cs="Calibri" w:cstheme="minorHAnsi"/>
                <w:b/>
              </w:rPr>
              <w:t>Porcentaje de valoración sobre el total</w:t>
            </w:r>
          </w:p>
        </w:tc>
      </w:tr>
      <w:tr>
        <w:trPr>
          <w:trHeight w:val="75" w:hRule="atLeast"/>
        </w:trPr>
        <w:tc>
          <w:tcPr>
            <w:tcW w:w="7937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>Casos y supuestos prácticos</w:t>
            </w:r>
          </w:p>
        </w:tc>
        <w:tc>
          <w:tcPr>
            <w:tcW w:w="18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50%</w:t>
            </w:r>
          </w:p>
        </w:tc>
      </w:tr>
      <w:tr>
        <w:trPr>
          <w:trHeight w:val="75" w:hRule="atLeast"/>
        </w:trPr>
        <w:tc>
          <w:tcPr>
            <w:tcW w:w="7937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rPr>
                <w:sz w:val="22"/>
                <w:szCs w:val="22"/>
              </w:rPr>
            </w:pPr>
            <w:r>
              <w:rPr>
                <w:rFonts w:eastAsia="Times New Roman" w:cs="Calibri" w:cstheme="minorHAnsi"/>
                <w:sz w:val="22"/>
                <w:szCs w:val="22"/>
              </w:rPr>
              <w:t>Trabajo individual de reflexión y análisis</w:t>
            </w:r>
          </w:p>
        </w:tc>
        <w:tc>
          <w:tcPr>
            <w:tcW w:w="18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tcMar>
              <w:top w:w="0" w:type="dxa"/>
              <w:left w:w="10" w:type="dxa"/>
              <w:bottom w:w="0" w:type="dxa"/>
              <w:right w:w="10" w:type="dxa"/>
            </w:tcMar>
          </w:tcPr>
          <w:p>
            <w:pPr>
              <w:pStyle w:val="Normal"/>
              <w:widowControl w:val="false"/>
              <w:snapToGrid w:val="false"/>
              <w:spacing w:lineRule="auto" w:line="240" w:before="0" w:after="0"/>
              <w:contextualSpacing/>
              <w:jc w:val="right"/>
              <w:rPr>
                <w:sz w:val="22"/>
                <w:szCs w:val="22"/>
              </w:rPr>
            </w:pPr>
            <w:r>
              <w:rPr>
                <w:rFonts w:cs="Calibri" w:cstheme="minorHAnsi"/>
                <w:sz w:val="22"/>
                <w:szCs w:val="22"/>
              </w:rPr>
              <w:t>50%</w:t>
            </w:r>
          </w:p>
        </w:tc>
      </w:tr>
      <w:tr>
        <w:trPr/>
        <w:tc>
          <w:tcPr>
            <w:tcW w:w="980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CCCCCC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ascii="Calibri" w:hAnsi="Calibri"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val="es-ES"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val="es-ES" w:eastAsia="zh-CN" w:bidi="hi-IN"/>
              </w:rPr>
              <w:t>MEDIOS Y RECURSOS DIDÁCTICOS</w:t>
            </w:r>
          </w:p>
        </w:tc>
      </w:tr>
      <w:tr>
        <w:trPr/>
        <w:tc>
          <w:tcPr>
            <w:tcW w:w="980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contextualSpacing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/>
              <w:t xml:space="preserve"/>
            </w:r>
            <w:r>
              <w:rPr>
                <w:sz w:val="22"/>
                <w:szCs w:val="22"/>
              </w:rPr>
              <w:t xml:space="preserve">Lección magistral    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Trabajos en grupo y/o exposiciones en grupo    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Estudio y análisis de materiales y lecturas</w:t>
            </w:r>
            <w:r>
              <w:t xml:space="preserve"/>
              <w:br/>
              <w:t xml:space="preserve"/>
            </w:r>
            <w:r>
              <w:t xml:space="preserve"/>
              <w:br/>
              <w:t xml:space="preserve"/>
            </w:r>
            <w:r>
              <w:t xml:space="preserve"/>
            </w:r>
          </w:p>
        </w:tc>
      </w:tr>
      <w:tr>
        <w:trPr/>
        <w:tc>
          <w:tcPr>
            <w:tcW w:w="980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CCCCCC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eastAsia="zh-CN" w:bidi="hi-IN"/>
              </w:rPr>
              <w:t>BIBLIOGRAFÍA</w:t>
            </w:r>
          </w:p>
        </w:tc>
      </w:tr>
      <w:tr>
        <w:trPr>
          <w:trHeight w:val="522" w:hRule="atLeast"/>
        </w:trPr>
        <w:tc>
          <w:tcPr>
            <w:tcW w:w="980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contextualSpacing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/>
              <w:t xml:space="preserve"/>
            </w:r>
            <w:r>
              <w:rPr>
                <w:sz w:val="22"/>
                <w:szCs w:val="22"/>
              </w:rPr>
              <w:t xml:space="preserve">Alonso, S. y Serrano, A. 1991. Los costes en los procesos de producción agraria: Metodología y Aplicaciones. Ediciones Mundi-Prensa. Madrid.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Audsley, E., Alber, S., Clift, R., Cowell, S., Crettaz, P., Gaillard, G., Hausheer, J., Jolliett, O., Kleijn, R.,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Mortensen, B., Pearce, D., Roger, E., Teulon, H., Weidema, B. and van Zeijts, H. 1997. Harmonisation of Environmental Life Cycle Assessment for Agriculture. Final Report of the Concerted Action AIR3-CT94-2028.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Ballestero, E. 1996. Contabilidad Agraria. Mundi-Prensa. Madrid.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Campos, P. y Naredo, J.M. 1980. “Los balances energéticos de la agricultura española”. En Agricultura y Sociedad. 15, pp. 18-115.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Dalgaard, T; Hutchings, J. y Porter, J. R. (2003). Agroecology: scaling and interdisciplinarity, Agricultura, Ecosystems and Environment, 100, 39-51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Dixon, J.A. y Fallon, L.A. 1989. “The Concept of Sustainability: Origins, Extensions and Usefulness for Policy”. En Society and Natural resources, 2, pp. 73-84.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Doherty, S. y Rydberg, T. (eds.). 2002. Ecosystem properties and principles of living systems as foundation for sustainable agriculture: critical reviews of environmental assessment tools, key findings and questions from a course process. Ecological Agriculture, 32. Centre for Sustainable Agriculture, Swedish University of Agricultural Sciences, Uppsala.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Fluck, R.C. 1992. “Energy in Farm Production”. En Energy in World Agriculture, 6. Elsevier. Amsterdam.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García Trujillo, R. 2004. “El uso de la Emergía en la Evaluación de la Sustentabilidad de Sistemas Ganaderos”. VI Congreso de SEAE, Almería Octubre de 2004.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García Trujillo, R. 2008 Estudio para el Desarrollo de la Agricultura y la Ganadería Ecológica en el Municipio de Castril. Servicio de Publicaciones y Divulgación, Consejería de Agricultura y Pesca. Junta de Andalucía.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Guzmán, G.I. y Alonso, A.M. 2008. A comparison of energy use in conventional and organic olive oil production in Spain. Agricultural Systems, Volume 98, pp. 167-176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Guzmán, G.I., García, A.R., Alonso, A.M., Perea, J.M. (coords.). 2008. Producción Ecológica. Influencia en el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Desarrollo Rural. Ministerio de Medio Ambiente y Medio Rural y Marino. Madrid.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Munda, G. 1996. Cost-benefit analysis in integrated environmental assessment: some methodological issues. Ecological Economics, Volume 19, Issue 2, pp. 157-168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Munda, G. 2004. Social multi-criteria evaluation: Methodological foundations and operational consequences. European Journal of Operational Research, Volume 158, Issue 3, 1, pp. 662-677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Munda, G. 2004. Métodos y Procesos Multicriterio para la Evaluación Social de las Políticas Públicas. Revista Iberoamericana de Economía Ecológica, Vol. 1, pp. 31-45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Odum, H.T., Odum, E.C., Brown, M.T., LaHart, D., Bersok, C. y Sendzimir, J. 1988. Environmental Systems and Public Policy. Traducido al castellano y disponible en la página web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http://www.unicamp.br/fea/ortega/eco/esp/index.htm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Pearce, D.W. y Turner, R.K. 1995. Economía de los recursos naturales y del medio ambiente. Colegio de Economistas de Madrid, Madrid.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Salcedo y García Trujillo, R. 2007. Sheep production systems in the north of Granada province. Case estudies. In Technical and economic analysis of the sheep and goat production system. Optiom Meditrrraneénnes Serie A No, 70. FAO-CIHEAM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Schandl, H., Grünbühel, C.M., Haberl, H., Weisz, H. 2002. Handbook of Physical Accounting. Measuring biophysical dimensions of socio-economic activities. Federal Ministry of Agriculture and Forestry, Environment and Water Management. Austria.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Spangenberg, J.H., Femia, A., Hinterberger, F. y Schütz, H. 1999. Material Flow-based Indicators in Environmental Reporting. European Environmental Agency, Environmental Issues Series, 14. Luxemburg.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Stolze, M., Piorr, A., Häring, A. y Dabbert, S. 2000. Environmental Impacts of Organic Farming in Europe. Organic Farming in Europe. Economics and Policy, vol. 6. University of Hohenheim. Stuttgart.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Turner, R.K., Pearce, D.W. y Bateman, I. 1994. Environmental economics. Harvester Wheatshesf, Nueva York.</w:t>
            </w:r>
            <w:r>
              <w:t xml:space="preserve"/>
              <w:br/>
              <w:t xml:space="preserve"/>
            </w:r>
            <w:r>
              <w:rPr>
                <w:sz w:val="22"/>
                <w:szCs w:val="22"/>
              </w:rPr>
              <w:t xml:space="preserve">Weidema, B.P. y Meeusen, M.J.G. (ed.). 2000. Agricultural data for Life Cycle Assessments. Proceedings of the 2nd European Invitational Expert Seminar on Life Cycle Assessment of Food Products, 5 and 26 January 1999. Agricultural Economics Research Institute (LEI), The Hague.</w:t>
            </w:r>
            <w:r>
              <w:t xml:space="preserve"/>
              <w:br/>
              <w:t xml:space="preserve"/>
            </w:r>
            <w:r>
              <w:t xml:space="preserve"/>
              <w:br/>
              <w:t xml:space="preserve"/>
            </w:r>
            <w:r>
              <w:t xml:space="preserve"/>
            </w:r>
          </w:p>
        </w:tc>
      </w:tr>
      <w:tr>
        <w:trPr>
          <w:trHeight w:val="413" w:hRule="atLeast"/>
        </w:trPr>
        <w:tc>
          <w:tcPr>
            <w:tcW w:w="980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CCCCCC" w:val="clear"/>
          </w:tcPr>
          <w:p>
            <w:pPr>
              <w:pStyle w:val="Normal"/>
              <w:widowControl w:val="false"/>
              <w:suppressLineNumbers/>
              <w:suppressAutoHyphens w:val="true"/>
              <w:spacing w:lineRule="auto" w:line="240" w:before="0" w:after="0"/>
              <w:contextualSpacing/>
              <w:jc w:val="center"/>
              <w:textAlignment w:val="baseline"/>
              <w:rPr>
                <w:rFonts w:ascii="Calibri" w:hAnsi="Calibri"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val="es-ES" w:eastAsia="zh-CN" w:bidi="hi-IN"/>
              </w:rPr>
            </w:pPr>
            <w:r>
              <w:rPr>
                <w:rFonts w:eastAsia="NSimSun" w:cs="Calibri" w:cstheme="minorHAnsi"/>
                <w:b/>
                <w:color w:val="000000"/>
                <w:kern w:val="2"/>
                <w:sz w:val="24"/>
                <w:szCs w:val="24"/>
                <w:lang w:val="es-ES" w:eastAsia="zh-CN" w:bidi="hi-IN"/>
              </w:rPr>
              <w:t>PLAN DE CONTINGENCIA</w:t>
            </w:r>
          </w:p>
        </w:tc>
      </w:tr>
      <w:tr>
        <w:trPr>
          <w:trHeight w:val="522" w:hRule="atLeast"/>
        </w:trPr>
        <w:tc>
          <w:tcPr>
            <w:tcW w:w="9806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contextualSpacing/>
              <w:rPr>
                <w:rFonts w:eastAsia="NSimSun" w:cs="Calibri" w:cstheme="minorHAnsi"/>
                <w:b/>
                <w:b/>
                <w:color w:val="000000"/>
                <w:kern w:val="2"/>
                <w:sz w:val="24"/>
                <w:szCs w:val="24"/>
                <w:lang w:eastAsia="zh-CN" w:bidi="hi-IN"/>
              </w:rPr>
            </w:pPr>
            <w:r>
              <w:rPr/>
              <w:t xml:space="preserve"/>
            </w:r>
            <w:r>
              <w:t xml:space="preserve"/>
            </w:r>
            <w:r>
              <w:rPr>
                <w:rFonts w:eastAsia="NSimSun" w:cs="Calibri" w:cstheme="minorHAnsi"/>
                <w:b w:val="false"/>
                <w:bCs w:val="false"/>
                <w:color w:val="000000"/>
                <w:kern w:val="2"/>
                <w:sz w:val="24"/>
                <w:szCs w:val="24"/>
                <w:lang w:eastAsia="zh-CN" w:bidi="hi-IN"/>
              </w:rPr>
              <w:t/>
            </w:r>
          </w:p>
        </w:tc>
      </w:tr>
    </w:tbl>
    <w:p>
      <w:pPr>
        <w:pStyle w:val="TableContents"/>
        <w:spacing w:before="0" w:after="160"/>
        <w:jc w:val="both"/>
        <w:rPr>
          <w:rFonts w:ascii="Serif" w:hAnsi="Serif"/>
        </w:rPr>
      </w:pPr>
      <w:r>
        <w:rPr>
          <w:rFonts w:ascii="Serif" w:hAnsi="Serif"/>
        </w:rPr>
      </w:r>
    </w:p>
    <w:p>
      <w:pPr>
        <w:pStyle w:val="TableContents"/>
        <w:spacing w:before="0" w:after="160"/>
        <w:jc w:val="both"/>
        <w:rPr>
          <w:rFonts w:ascii="Serif" w:hAnsi="Serif"/>
        </w:rPr>
      </w:pPr>
      <w:r>
        <w:rPr>
          <w:rFonts w:eastAsia="Calibri" w:cs="" w:ascii="Serif" w:hAnsi="Serif" w:cstheme="minorBidi" w:eastAsiaTheme="minorHAnsi"/>
          <w:b w:val="false"/>
          <w:bCs w:val="false"/>
          <w:color w:val="00000A"/>
          <w:kern w:val="0"/>
          <w:sz w:val="20"/>
          <w:szCs w:val="20"/>
          <w:lang w:val="es-ES" w:eastAsia="en-US" w:bidi="ar-SA"/>
        </w:rPr>
        <w:t>En Sevilla, a 15 de julio de 2024.</w:t>
      </w:r>
    </w:p>
    <w:p>
      <w:pPr>
        <w:pStyle w:val="TableContents"/>
        <w:widowControl/>
        <w:suppressAutoHyphens w:val="true"/>
        <w:bidi w:val="0"/>
        <w:spacing w:lineRule="auto" w:line="312" w:before="0" w:after="160"/>
        <w:ind w:left="-567" w:right="0" w:hanging="0"/>
        <w:jc w:val="right"/>
        <w:rPr>
          <w:rFonts w:ascii="Serif" w:hAnsi="Serif"/>
        </w:rPr>
      </w:pPr>
      <w:r>
        <w:rPr>
          <w:rFonts w:eastAsia="Calibri" w:cs="" w:ascii="Serif" w:hAnsi="Serif" w:cstheme="minorBidi" w:eastAsiaTheme="minorHAnsi"/>
          <w:b w:val="false"/>
          <w:bCs w:val="false"/>
          <w:color w:val="00000A"/>
          <w:kern w:val="0"/>
          <w:sz w:val="20"/>
          <w:szCs w:val="20"/>
          <w:lang w:val="es-ES" w:eastAsia="en-US" w:bidi="ar-SA"/>
        </w:rPr>
        <w:t>Fdo.: González de Molina, Manuel</w:t>
      </w:r>
    </w:p>
    <w:p>
      <w:pPr>
        <w:pStyle w:val="TableContents"/>
        <w:widowControl/>
        <w:suppressAutoHyphens w:val="true"/>
        <w:bidi w:val="0"/>
        <w:spacing w:lineRule="auto" w:line="312" w:before="0" w:after="160"/>
        <w:ind w:left="-567" w:right="0" w:hanging="0"/>
        <w:jc w:val="right"/>
        <w:rPr>
          <w:rFonts w:ascii="Serif" w:hAnsi="Serif"/>
        </w:rPr>
      </w:pPr>
      <w:r>
        <w:rPr>
          <w:rFonts w:ascii="Serif" w:hAnsi="Serif"/>
        </w:rPr>
      </w:r>
    </w:p>
    <w:p>
      <w:pPr>
        <w:pStyle w:val="Normal"/>
        <w:widowControl/>
        <w:suppressAutoHyphens w:val="true"/>
        <w:bidi w:val="0"/>
        <w:spacing w:lineRule="auto" w:line="312" w:before="120" w:after="120"/>
        <w:ind w:left="-567" w:right="0" w:hanging="0"/>
        <w:contextualSpacing/>
        <w:jc w:val="left"/>
        <w:rPr>
          <w:sz w:val="10"/>
          <w:szCs w:val="10"/>
        </w:rPr>
      </w:pPr>
      <w:r>
        <w:rPr>
          <w:rFonts w:ascii="Times New Roman" w:hAnsi="Times New Roman"/>
          <w:sz w:val="10"/>
          <w:szCs w:val="10"/>
        </w:rPr>
        <w:t>            Conforme a lo dispuesto en la legislación vigente en materia de protección de datos de carácter personal(Reglamento(UE) 2016/679, de 27 de abril) le informamos que los datos personales que nos ha facilitado pasarán a ser tratados por la UNIVERSIDAD INTERNACONAL DE ANDALUCÍA como responsable del tratamiento, siendo órgano competente en la materia la Dirección del Área de Gestión Académica(Monasterio Santa María de las Cuevas, C / Américo Vespucio nº2. Isla de La Cartuja - 41092 - Sevilla) ante quien Ud. puede ejercitar sus derechos de acceso, rectificación, limitación, oposición o portabilidad señalando concretamente la causa de su solicitud y acompañando copia de su documento acreditativo de identidad. La solicitud podrá hacerse mediante escrito en formato papel o por medios electrónicos.
</w:t>
        <w:br/>
        <w:t xml:space="preserve">
</w:t>
        <w:br/>
        <w:t xml:space="preserve">            Caso de no obtener contestación o ver desestimada su solicitud puede dirigirse al Delegado de Protección de Datos de la Universidad(rgpd@unia.es Tfno 954 462299) o en reclamación a la Agencia Española de Protección de Datos a través de los formularios que esa entidad tiene habilitados al efecto y que son accesibles desde su página web: https: // sedeagpd.gob.es
</w:t>
        <w:br/>
        <w:t xml:space="preserve">
</w:t>
        <w:br/>
        <w:t xml:space="preserve">            Como responsable, la Universidad le informa que exclusivamente tratará los datos personales que Ud. le facilite para dar cumplimiento a los siguientes fines:
</w:t>
        <w:br/>
        <w:t xml:space="preserve">            a)    Gestión académica y administrativa de:
</w:t>
        <w:br/>
        <w:t xml:space="preserve">                •    Participación en procesos de acceso y admisión a las enseñanzas oficiales(Grado, Máster y Doctorado) o de formación Continua de la Universidad Internacional de Andalucía.
</w:t>
        <w:br/>
        <w:t xml:space="preserve">                •    Inscripción y/o matrícula como alumno en cualquiera de las titulaciones oficiales(Grado, Máster y Doctorado), Formación Continua u otras actividades académicas ofrecidas por la Universidad Internacional de    Andalucía.
</w:t>
        <w:br/>
        <w:t xml:space="preserve">                •    Participación en convocatorias de becas y ayudas al estudio de la Universidad Internacional de Andalucía, la Admón. General del Estado o la de las Comunidades Autónomas y de otras entidades públicas o privadas.
</w:t>
        <w:br/>
        <w:t xml:space="preserve">                •    Participación en convocatorias de programas de movilidad de carácter nacional o internacional.
</w:t>
        <w:br/>
        <w:t xml:space="preserve">                •    Obtención y expedición de títulos oficiales, títulos propios y otros títulos académico
</w:t>
        <w:br/>
        <w:t xml:space="preserve">            b)    Gestión de su participación como estudiante en prácticas y actividades formativas nacionales o internacionales en instituciones, empresas, organismos o en otros centros.
</w:t>
        <w:br/>
        <w:t xml:space="preserve">            c)    Utilización de servicios universitarios como obtención del carné universitario, bibliotecas, actividades deportivas u otros.
</w:t>
        <w:br/>
        <w:t xml:space="preserve">
</w:t>
        <w:br/>
        <w:t xml:space="preserve">            La Universidad se encuentra legitimada para tratar estos datos al ser necesarios para la ejecución de la relación jurídica establecida entre Ud. y la Universidad y para que ésta pueda cumplir con sus obligaciones legales establecidas en la Ley Orgánica 6/2001, de Universidades.
</w:t>
        <w:br/>
        <w:t xml:space="preserve">            Usted responde de la veracidad de los datos personales que ha proporcionado a la Universidad y de su actualización.
</w:t>
        <w:br/>
        <w:t xml:space="preserve">            La Universidad comunicará los datos personales que sean indispensables, y nunca en otro caso, a las siguientes categorías de destinatarios:
</w:t>
        <w:br/>
        <w:t xml:space="preserve">                •    A otras Administraciones y organismos públicos para el ejercicio de las competencias que les sean propias y compatibles con las finalidades arriba enunciadas(Así - a modo enunciativo y no limitativo - a Ministerios con competencias en educación y ciencia, a otras administraciones, a otras Universidades o Centros formativos equivalentes para la gestión de traslados, a empresas para la realización de prácticas)
</w:t>
        <w:br/>
        <w:t xml:space="preserve">                •    A entidades bancarias para la gestión de pagos y cobros.
</w:t>
        <w:br/>
        <w:t xml:space="preserve">                •    A organismos públicos o privados en virtud de la celebración de convenios de colaboración o contratos, conforme a lo dispuesto en la legislación vigente en materia de Protección de Datos.
</w:t>
        <w:br/>
        <w:t xml:space="preserve">                •    A los servicios de la propia Universidad que sean adecuados para gestionar la utilización de los servicios universitarios ofertados.
</w:t>
        <w:br/>
        <w:t xml:space="preserve">            Sus datos de carácter personal se tratarán y conservarán por la Universidad conforme a la legislación vigente en materia de protección de datos, pasando luego a formar parte –previo expurgo - del Archivo Histórico Universitario conforme a lo dispuesto en la legislación sobre Patrimonio Histórico.
</w:t>
        <w:br/>
        <w:t xml:space="preserve">
</w:t>
        <w:br/>
        <w:t xml:space="preserve">            La Universidad sólo prevé la transferencia de datos a terceros países en el caso de su participación como alumno en alguno de los programas de formación o becas de carácter internacional. La transferencia se realizará siguiendo las directrices establecidas al respecto por el Reglamento Europeo de Protección de Datos y normativa de desarrollo.
</w:t>
        <w:br/>
        <w:t xml:space="preserve">            El Servicio de Protección de Datos de la Universidad Internacional de Andalucía cuenta con una página en la que incluye legislación, información y modelos en relación con la Protección de Datos Personales a la que puede acceder desde el siguiente enlace:  https://www.unia.es/protecciondatos</w:t>
      </w:r>
    </w:p>
    <w:sectPr>
      <w:headerReference w:type="default" r:id="rId6"/>
      <w:footerReference w:type="default" r:id="rId7"/>
      <w:type w:val="nextPage"/>
      <w:pgSz w:w="11906" w:h="16838"/>
      <w:pgMar w:left="1701" w:right="1701" w:header="567" w:top="1418" w:footer="709" w:bottom="1418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Times New Roman">
    <w:charset w:val="01"/>
    <w:family w:val="roman"/>
    <w:pitch w:val="variable"/>
  </w:font>
  <w:font w:name="Cambria">
    <w:charset w:val="01"/>
    <w:family w:val="roman"/>
    <w:pitch w:val="variable"/>
  </w:font>
  <w:font w:name="Segoe UI">
    <w:charset w:val="01"/>
    <w:family w:val="roman"/>
    <w:pitch w:val="variable"/>
  </w:font>
  <w:font w:name="Liberation Mono">
    <w:altName w:val="Courier New"/>
    <w:charset w:val="01"/>
    <w:family w:val="roman"/>
    <w:pitch w:val="variable"/>
  </w:font>
  <w:font w:name="OpenSymbol">
    <w:altName w:val="Arial Unicode MS"/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Serif">
    <w:charset w:val="01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sdt>
    <w:sdtPr>
      <w:docPartObj>
        <w:docPartGallery w:val="Page Numbers (Bottom of Page)"/>
        <w:docPartUnique w:val="true"/>
      </w:docPartObj>
      <w:id w:val="118311391"/>
    </w:sdtPr>
    <w:sdtContent>
      <w:p>
        <w:pPr>
          <w:pStyle w:val="Footer"/>
          <w:jc w:val="center"/>
          <w:rPr>
            <w:sz w:val="18"/>
            <w:szCs w:val="18"/>
          </w:rPr>
        </w:pPr>
        <w:r>
          <w:rPr>
            <w:sz w:val="18"/>
            <w:szCs w:val="18"/>
          </w:rPr>
          <w:fldChar w:fldCharType="begin"/>
        </w:r>
        <w:r>
          <w:rPr>
            <w:sz w:val="18"/>
            <w:szCs w:val="18"/>
          </w:rPr>
          <w:instrText> PAGE </w:instrText>
        </w:r>
        <w:r>
          <w:rPr>
            <w:sz w:val="18"/>
            <w:szCs w:val="18"/>
          </w:rPr>
          <w:fldChar w:fldCharType="separate"/>
        </w:r>
        <w:r>
          <w:rPr>
            <w:sz w:val="18"/>
            <w:szCs w:val="18"/>
          </w:rPr>
          <w:t>2</w:t>
        </w:r>
        <w:r>
          <w:rPr>
            <w:sz w:val="18"/>
            <w:szCs w:val="18"/>
          </w:rPr>
          <w:fldChar w:fldCharType="end"/>
        </w:r>
      </w:p>
    </w:sdtContent>
  </w:sdt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sdt>
    <w:sdtPr>
      <w:docPartObj>
        <w:docPartGallery w:val="Page Numbers (Bottom of Page)"/>
        <w:docPartUnique w:val="true"/>
      </w:docPartObj>
      <w:id w:val="83614652"/>
    </w:sdtPr>
    <w:sdtContent>
      <w:p>
        <w:pPr>
          <w:pStyle w:val="Footer"/>
          <w:jc w:val="center"/>
          <w:rPr>
            <w:sz w:val="18"/>
            <w:szCs w:val="18"/>
          </w:rPr>
        </w:pPr>
        <w:r>
          <w:rPr>
            <w:sz w:val="18"/>
            <w:szCs w:val="18"/>
          </w:rPr>
          <w:fldChar w:fldCharType="begin"/>
        </w:r>
        <w:r>
          <w:rPr>
            <w:sz w:val="18"/>
            <w:szCs w:val="18"/>
          </w:rPr>
          <w:instrText> PAGE </w:instrText>
        </w:r>
        <w:r>
          <w:rPr>
            <w:sz w:val="18"/>
            <w:szCs w:val="18"/>
          </w:rPr>
          <w:fldChar w:fldCharType="separate"/>
        </w:r>
        <w:r>
          <w:rPr>
            <w:sz w:val="18"/>
            <w:szCs w:val="18"/>
          </w:rPr>
          <w:t>5</w:t>
        </w:r>
        <w:r>
          <w:rPr>
            <w:sz w:val="18"/>
            <w:szCs w:val="18"/>
          </w:rPr>
          <w:fldChar w:fldCharType="end"/>
        </w:r>
      </w:p>
    </w:sdtContent>
  </w:sdt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tbl>
    <w:tblPr>
      <w:tblW w:w="9808" w:type="dxa"/>
      <w:jc w:val="left"/>
      <w:tblInd w:w="-520" w:type="dxa"/>
      <w:tblCellMar>
        <w:top w:w="0" w:type="dxa"/>
        <w:left w:w="108" w:type="dxa"/>
        <w:bottom w:w="0" w:type="dxa"/>
        <w:right w:w="108" w:type="dxa"/>
      </w:tblCellMar>
      <w:tblLook w:val="0000" w:noHBand="0" w:noVBand="0" w:firstColumn="0" w:lastRow="0" w:lastColumn="0" w:firstRow="0"/>
    </w:tblPr>
    <w:tblGrid>
      <w:gridCol w:w="4419"/>
      <w:gridCol w:w="5388"/>
    </w:tblGrid>
    <w:tr>
      <w:trPr/>
      <w:tc>
        <w:tcPr>
          <w:tcW w:w="4419" w:type="dxa"/>
          <w:tcBorders/>
          <w:shd w:color="auto" w:fill="auto" w:val="clear"/>
          <w:vAlign w:val="center"/>
        </w:tcPr>
        <w:p>
          <w:pPr>
            <w:pStyle w:val="Normal"/>
            <w:widowControl w:val="false"/>
            <w:suppressLineNumbers/>
            <w:tabs>
              <w:tab w:val="clear" w:pos="708"/>
              <w:tab w:val="center" w:pos="4819" w:leader="none"/>
              <w:tab w:val="right" w:pos="9638" w:leader="none"/>
            </w:tabs>
            <w:suppressAutoHyphens w:val="true"/>
            <w:spacing w:lineRule="auto" w:line="240" w:before="0" w:after="0"/>
            <w:textAlignment w:val="baseline"/>
            <w:rPr>
              <w:rFonts w:ascii="Times New Roman" w:hAnsi="Times New Roman" w:eastAsia="Times New Roman" w:cs="Times New Roman"/>
              <w:kern w:val="2"/>
              <w:sz w:val="20"/>
              <w:szCs w:val="20"/>
              <w:lang w:eastAsia="zh-CN"/>
            </w:rPr>
          </w:pPr>
          <w:r>
            <w:rPr>
              <w:rFonts w:eastAsia="Times New Roman" w:cs="Times New Roman" w:ascii="Times New Roman" w:hAnsi="Times New Roman"/>
              <w:kern w:val="2"/>
              <w:sz w:val="20"/>
              <w:szCs w:val="20"/>
              <w:lang w:eastAsia="zh-CN"/>
            </w:rPr>
            <w:drawing>
              <wp:anchor behindDoc="1" distT="0" distB="0" distL="0" distR="0" simplePos="0" locked="0" layoutInCell="1" allowOverlap="1" relativeHeight="4">
                <wp:simplePos x="0" y="0"/>
                <wp:positionH relativeFrom="column">
                  <wp:align>center</wp:align>
                </wp:positionH>
                <wp:positionV relativeFrom="paragraph">
                  <wp:posOffset>635</wp:posOffset>
                </wp:positionV>
                <wp:extent cx="2139950" cy="708660"/>
                <wp:effectExtent l="0" t="0" r="0" b="0"/>
                <wp:wrapSquare wrapText="largest"/>
                <wp:docPr id="2" name="Image2" descr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Image2" descr="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139950" cy="7086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5388" w:type="dxa"/>
          <w:tcBorders/>
          <w:shd w:color="auto" w:fill="auto" w:val="clear"/>
          <w:vAlign w:val="center"/>
        </w:tcPr>
        <w:p>
          <w:pPr>
            <w:pStyle w:val="Normal"/>
            <w:widowControl w:val="false"/>
            <w:spacing w:before="480" w:after="160"/>
            <w:jc w:val="right"/>
            <w:rPr>
              <w:sz w:val="28"/>
              <w:szCs w:val="28"/>
            </w:rPr>
          </w:pPr>
          <w:r>
            <w:rPr>
              <w:rFonts w:eastAsia="NSimSun" w:cs="Calibri" w:cstheme="minorHAnsi"/>
              <w:b/>
              <w:color w:val="000000"/>
              <w:kern w:val="2"/>
              <w:sz w:val="28"/>
              <w:szCs w:val="28"/>
              <w:lang w:bidi="hi-IN"/>
            </w:rPr>
            <w:t xml:space="preserve">  </w:t>
          </w:r>
          <w:r>
            <w:rPr>
              <w:rFonts w:eastAsia="NSimSun" w:cs="Calibri" w:cstheme="minorHAnsi"/>
              <w:b/>
              <w:color w:val="000000"/>
              <w:kern w:val="2"/>
              <w:sz w:val="28"/>
              <w:szCs w:val="28"/>
              <w:lang w:bidi="hi-IN"/>
            </w:rPr>
            <w:t>GUÍA DOCENTE</w:t>
          </w:r>
        </w:p>
      </w:tc>
    </w:tr>
  </w:tbl>
  <w:p>
    <w:pPr>
      <w:pStyle w:val="Header"/>
      <w:rPr>
        <w:rFonts w:eastAsia="NSimSun" w:cs="Calibri" w:cstheme="minorHAnsi"/>
        <w:b/>
        <w:b/>
        <w:color w:val="000000"/>
        <w:kern w:val="2"/>
        <w:sz w:val="28"/>
        <w:szCs w:val="28"/>
        <w:lang w:bidi="hi-IN"/>
      </w:rPr>
    </w:pPr>
    <w:r>
      <w:rPr>
        <w:rFonts w:eastAsia="NSimSun" w:cs="Calibri" w:cstheme="minorHAnsi"/>
        <w:b/>
        <w:color w:val="000000"/>
        <w:kern w:val="2"/>
        <w:sz w:val="28"/>
        <w:szCs w:val="28"/>
        <w:lang w:bidi="hi-IN"/>
      </w:rPr>
    </w:r>
  </w:p>
</w:hdr>
</file>

<file path=word/settings.xml><?xml version="1.0" encoding="utf-8"?>
<w:settings xmlns:w="http://schemas.openxmlformats.org/wordprocessingml/2006/main">
  <w:zoom w:percent="120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hyphenationZone w:val="425"/>
  <w:themeFontLang w:val="es-ES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es-E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semiHidden="1" w:unhideWhenUsed="1" w:qFormat="1"/>
    <w:lsdException w:name="heading 3" w:uiPriority="0" w:semiHidden="1" w:unhideWhenUsed="1" w:qFormat="1"/>
    <w:lsdException w:name="heading 4" w:uiPriority="0" w:semiHidden="1" w:unhideWhenUsed="1" w:qFormat="1"/>
    <w:lsdException w:name="heading 5" w:uiPriority="0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1b6d50"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es-ES" w:eastAsia="en-US" w:bidi="ar-SA"/>
    </w:rPr>
  </w:style>
  <w:style w:type="paragraph" w:styleId="Heading1">
    <w:name w:val="Heading 1"/>
    <w:basedOn w:val="Normal"/>
    <w:next w:val="Normal"/>
    <w:link w:val="Ttulo1Car"/>
    <w:qFormat/>
    <w:rsid w:val="00a938e0"/>
    <w:pPr>
      <w:keepNext w:val="true"/>
      <w:suppressAutoHyphens w:val="true"/>
      <w:spacing w:lineRule="auto" w:line="240" w:before="0" w:after="0"/>
      <w:jc w:val="center"/>
      <w:textAlignment w:val="baseline"/>
      <w:outlineLvl w:val="0"/>
    </w:pPr>
    <w:rPr>
      <w:rFonts w:ascii="Times New Roman" w:hAnsi="Times New Roman" w:eastAsia="Times New Roman" w:cs="Times New Roman"/>
      <w:b/>
      <w:kern w:val="2"/>
      <w:sz w:val="20"/>
      <w:szCs w:val="20"/>
      <w:lang w:eastAsia="zh-CN"/>
    </w:rPr>
  </w:style>
  <w:style w:type="paragraph" w:styleId="Heading2">
    <w:name w:val="Heading 2"/>
    <w:basedOn w:val="Normal"/>
    <w:next w:val="Normal"/>
    <w:link w:val="Ttulo2Car"/>
    <w:qFormat/>
    <w:rsid w:val="00a938e0"/>
    <w:pPr>
      <w:keepNext w:val="true"/>
      <w:suppressAutoHyphens w:val="true"/>
      <w:spacing w:lineRule="auto" w:line="240" w:before="240" w:after="60"/>
      <w:textAlignment w:val="baseline"/>
      <w:outlineLvl w:val="1"/>
    </w:pPr>
    <w:rPr>
      <w:rFonts w:ascii="Cambria" w:hAnsi="Cambria" w:eastAsia="Times New Roman" w:cs="Times New Roman"/>
      <w:b/>
      <w:bCs/>
      <w:i/>
      <w:iCs/>
      <w:kern w:val="2"/>
      <w:sz w:val="28"/>
      <w:szCs w:val="28"/>
      <w:lang w:eastAsia="zh-CN"/>
    </w:rPr>
  </w:style>
  <w:style w:type="paragraph" w:styleId="Heading3">
    <w:name w:val="Heading 3"/>
    <w:basedOn w:val="Normal"/>
    <w:next w:val="Normal"/>
    <w:link w:val="Ttulo3Car"/>
    <w:qFormat/>
    <w:rsid w:val="00a938e0"/>
    <w:pPr>
      <w:keepNext w:val="true"/>
      <w:suppressAutoHyphens w:val="true"/>
      <w:spacing w:lineRule="auto" w:line="240" w:before="240" w:after="60"/>
      <w:textAlignment w:val="baseline"/>
      <w:outlineLvl w:val="2"/>
    </w:pPr>
    <w:rPr>
      <w:rFonts w:ascii="Cambria" w:hAnsi="Cambria" w:eastAsia="Times New Roman" w:cs="Times New Roman"/>
      <w:b/>
      <w:bCs/>
      <w:kern w:val="2"/>
      <w:sz w:val="26"/>
      <w:szCs w:val="26"/>
      <w:lang w:eastAsia="zh-CN"/>
    </w:rPr>
  </w:style>
  <w:style w:type="paragraph" w:styleId="Heading4">
    <w:name w:val="Heading 4"/>
    <w:basedOn w:val="Normal"/>
    <w:next w:val="Normal"/>
    <w:link w:val="Ttulo4Car"/>
    <w:qFormat/>
    <w:rsid w:val="00a938e0"/>
    <w:pPr>
      <w:keepNext w:val="true"/>
      <w:suppressAutoHyphens w:val="true"/>
      <w:spacing w:lineRule="auto" w:line="240" w:before="0" w:after="0"/>
      <w:textAlignment w:val="baseline"/>
      <w:outlineLvl w:val="3"/>
    </w:pPr>
    <w:rPr>
      <w:rFonts w:ascii="Times New Roman" w:hAnsi="Times New Roman" w:eastAsia="Times New Roman" w:cs="Times New Roman"/>
      <w:b/>
      <w:kern w:val="2"/>
      <w:szCs w:val="20"/>
      <w:lang w:eastAsia="zh-CN"/>
    </w:rPr>
  </w:style>
  <w:style w:type="paragraph" w:styleId="Heading5">
    <w:name w:val="Heading 5"/>
    <w:basedOn w:val="Normal"/>
    <w:next w:val="Normal"/>
    <w:link w:val="Ttulo5Car"/>
    <w:qFormat/>
    <w:rsid w:val="00a938e0"/>
    <w:pPr>
      <w:keepNext w:val="true"/>
      <w:suppressAutoHyphens w:val="true"/>
      <w:spacing w:lineRule="auto" w:line="240" w:before="0" w:after="0"/>
      <w:jc w:val="both"/>
      <w:textAlignment w:val="baseline"/>
      <w:outlineLvl w:val="4"/>
    </w:pPr>
    <w:rPr>
      <w:rFonts w:ascii="Times New Roman" w:hAnsi="Times New Roman" w:eastAsia="Times New Roman" w:cs="Times New Roman"/>
      <w:b/>
      <w:kern w:val="2"/>
      <w:sz w:val="20"/>
      <w:szCs w:val="20"/>
      <w:lang w:eastAsia="zh-CN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EncabezadoCar" w:customStyle="1">
    <w:name w:val="Encabezado Car"/>
    <w:basedOn w:val="DefaultParagraphFont"/>
    <w:uiPriority w:val="99"/>
    <w:qFormat/>
    <w:rsid w:val="00a938e0"/>
    <w:rPr/>
  </w:style>
  <w:style w:type="character" w:styleId="PiedepginaCar" w:customStyle="1">
    <w:name w:val="Pie de página Car"/>
    <w:basedOn w:val="DefaultParagraphFont"/>
    <w:uiPriority w:val="99"/>
    <w:qFormat/>
    <w:rsid w:val="00a938e0"/>
    <w:rPr/>
  </w:style>
  <w:style w:type="character" w:styleId="Ttulo1Car" w:customStyle="1">
    <w:name w:val="Título 1 Car"/>
    <w:basedOn w:val="DefaultParagraphFont"/>
    <w:qFormat/>
    <w:rsid w:val="00a938e0"/>
    <w:rPr>
      <w:rFonts w:ascii="Times New Roman" w:hAnsi="Times New Roman" w:eastAsia="Times New Roman" w:cs="Times New Roman"/>
      <w:b/>
      <w:kern w:val="2"/>
      <w:sz w:val="20"/>
      <w:szCs w:val="20"/>
      <w:lang w:eastAsia="zh-CN"/>
    </w:rPr>
  </w:style>
  <w:style w:type="character" w:styleId="Ttulo2Car" w:customStyle="1">
    <w:name w:val="Título 2 Car"/>
    <w:basedOn w:val="DefaultParagraphFont"/>
    <w:qFormat/>
    <w:rsid w:val="00a938e0"/>
    <w:rPr>
      <w:rFonts w:ascii="Cambria" w:hAnsi="Cambria" w:eastAsia="Times New Roman" w:cs="Times New Roman"/>
      <w:b/>
      <w:bCs/>
      <w:i/>
      <w:iCs/>
      <w:kern w:val="2"/>
      <w:sz w:val="28"/>
      <w:szCs w:val="28"/>
      <w:lang w:eastAsia="zh-CN"/>
    </w:rPr>
  </w:style>
  <w:style w:type="character" w:styleId="Ttulo3Car" w:customStyle="1">
    <w:name w:val="Título 3 Car"/>
    <w:basedOn w:val="DefaultParagraphFont"/>
    <w:qFormat/>
    <w:rsid w:val="00a938e0"/>
    <w:rPr>
      <w:rFonts w:ascii="Cambria" w:hAnsi="Cambria" w:eastAsia="Times New Roman" w:cs="Times New Roman"/>
      <w:b/>
      <w:bCs/>
      <w:kern w:val="2"/>
      <w:sz w:val="26"/>
      <w:szCs w:val="26"/>
      <w:lang w:eastAsia="zh-CN"/>
    </w:rPr>
  </w:style>
  <w:style w:type="character" w:styleId="Ttulo4Car" w:customStyle="1">
    <w:name w:val="Título 4 Car"/>
    <w:basedOn w:val="DefaultParagraphFont"/>
    <w:qFormat/>
    <w:rsid w:val="00a938e0"/>
    <w:rPr>
      <w:rFonts w:ascii="Times New Roman" w:hAnsi="Times New Roman" w:eastAsia="Times New Roman" w:cs="Times New Roman"/>
      <w:b/>
      <w:kern w:val="2"/>
      <w:szCs w:val="20"/>
      <w:lang w:eastAsia="zh-CN"/>
    </w:rPr>
  </w:style>
  <w:style w:type="character" w:styleId="Ttulo5Car" w:customStyle="1">
    <w:name w:val="Título 5 Car"/>
    <w:basedOn w:val="DefaultParagraphFont"/>
    <w:qFormat/>
    <w:rsid w:val="00a938e0"/>
    <w:rPr>
      <w:rFonts w:ascii="Times New Roman" w:hAnsi="Times New Roman" w:eastAsia="Times New Roman" w:cs="Times New Roman"/>
      <w:b/>
      <w:kern w:val="2"/>
      <w:sz w:val="20"/>
      <w:szCs w:val="20"/>
      <w:lang w:eastAsia="zh-CN"/>
    </w:rPr>
  </w:style>
  <w:style w:type="character" w:styleId="TextodegloboCar" w:customStyle="1">
    <w:name w:val="Texto de globo Car"/>
    <w:basedOn w:val="DefaultParagraphFont"/>
    <w:uiPriority w:val="99"/>
    <w:semiHidden/>
    <w:qFormat/>
    <w:rsid w:val="00bf3531"/>
    <w:rPr>
      <w:rFonts w:ascii="Segoe UI" w:hAnsi="Segoe UI" w:cs="Segoe UI"/>
      <w:sz w:val="18"/>
      <w:szCs w:val="18"/>
    </w:rPr>
  </w:style>
  <w:style w:type="character" w:styleId="InternetLink">
    <w:name w:val="Hyperlink"/>
    <w:basedOn w:val="DefaultParagraphFont"/>
    <w:uiPriority w:val="99"/>
    <w:unhideWhenUsed/>
    <w:rsid w:val="00ab01e2"/>
    <w:rPr>
      <w:color w:val="0563C1" w:themeColor="hyperlink"/>
      <w:u w:val="single"/>
    </w:rPr>
  </w:style>
  <w:style w:type="character" w:styleId="Annotationreference">
    <w:name w:val="annotation reference"/>
    <w:basedOn w:val="DefaultParagraphFont"/>
    <w:uiPriority w:val="99"/>
    <w:semiHidden/>
    <w:unhideWhenUsed/>
    <w:qFormat/>
    <w:rsid w:val="004c72f0"/>
    <w:rPr>
      <w:sz w:val="16"/>
      <w:szCs w:val="16"/>
    </w:rPr>
  </w:style>
  <w:style w:type="character" w:styleId="TextocomentarioCar" w:customStyle="1">
    <w:name w:val="Texto comentario Car"/>
    <w:basedOn w:val="DefaultParagraphFont"/>
    <w:uiPriority w:val="99"/>
    <w:semiHidden/>
    <w:qFormat/>
    <w:rsid w:val="004c72f0"/>
    <w:rPr>
      <w:sz w:val="20"/>
      <w:szCs w:val="20"/>
    </w:rPr>
  </w:style>
  <w:style w:type="character" w:styleId="AsuntodelcomentarioCar" w:customStyle="1">
    <w:name w:val="Asunto del comentario Car"/>
    <w:basedOn w:val="TextocomentarioCar"/>
    <w:uiPriority w:val="99"/>
    <w:semiHidden/>
    <w:qFormat/>
    <w:rsid w:val="004c72f0"/>
    <w:rPr>
      <w:b/>
      <w:bCs/>
      <w:sz w:val="20"/>
      <w:szCs w:val="20"/>
    </w:rPr>
  </w:style>
  <w:style w:type="character" w:styleId="TextonotapieCar" w:customStyle="1">
    <w:name w:val="Texto nota pie Car"/>
    <w:basedOn w:val="DefaultParagraphFont"/>
    <w:uiPriority w:val="99"/>
    <w:semiHidden/>
    <w:qFormat/>
    <w:rsid w:val="00b358be"/>
    <w:rPr>
      <w:sz w:val="20"/>
      <w:szCs w:val="20"/>
    </w:rPr>
  </w:style>
  <w:style w:type="character" w:styleId="FootnoteCharacters">
    <w:name w:val="Footnote Characters"/>
    <w:basedOn w:val="DefaultParagraphFont"/>
    <w:uiPriority w:val="99"/>
    <w:semiHidden/>
    <w:unhideWhenUsed/>
    <w:qFormat/>
    <w:rsid w:val="00b358be"/>
    <w:rPr>
      <w:vertAlign w:val="superscript"/>
    </w:rPr>
  </w:style>
  <w:style w:type="character" w:styleId="FootnoteAnchor">
    <w:name w:val="Footnote Anchor"/>
    <w:qFormat/>
    <w:rPr>
      <w:vertAlign w:val="superscript"/>
    </w:rPr>
  </w:style>
  <w:style w:type="character" w:styleId="VisitedInternetLink">
    <w:name w:val="FollowedHyperlink"/>
    <w:basedOn w:val="DefaultParagraphFont"/>
    <w:uiPriority w:val="99"/>
    <w:semiHidden/>
    <w:unhideWhenUsed/>
    <w:rsid w:val="00996024"/>
    <w:rPr>
      <w:color w:val="954F72" w:themeColor="followedHyperlink"/>
      <w:u w:val="single"/>
    </w:rPr>
  </w:style>
  <w:style w:type="character" w:styleId="EndnoteAnchor">
    <w:name w:val="Endnote Anchor"/>
    <w:qFormat/>
    <w:rPr>
      <w:vertAlign w:val="superscript"/>
    </w:rPr>
  </w:style>
  <w:style w:type="character" w:styleId="EndnoteCharacters">
    <w:name w:val="Endnote Characters"/>
    <w:qFormat/>
    <w:rPr/>
  </w:style>
  <w:style w:type="character" w:styleId="Ninguno">
    <w:name w:val="Ninguno"/>
    <w:qFormat/>
    <w:rPr>
      <w:lang w:val="en-US"/>
    </w:rPr>
  </w:style>
  <w:style w:type="character" w:styleId="Textooriginal">
    <w:name w:val="Texto original"/>
    <w:qFormat/>
    <w:rPr>
      <w:rFonts w:ascii="Liberation Mono" w:hAnsi="Liberation Mono" w:eastAsia="Liberation Mono" w:cs="Liberation Mono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ohit Devanagari"/>
    </w:rPr>
  </w:style>
  <w:style w:type="paragraph" w:styleId="Ttulo">
    <w:name w:val="Título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 CJK SC" w:cs="Noto Sans Devanagari"/>
      <w:sz w:val="28"/>
      <w:szCs w:val="28"/>
    </w:rPr>
  </w:style>
  <w:style w:type="paragraph" w:styleId="Ndice">
    <w:name w:val="Índice"/>
    <w:basedOn w:val="Normal"/>
    <w:qFormat/>
    <w:pPr>
      <w:suppressLineNumbers/>
    </w:pPr>
    <w:rPr>
      <w:rFonts w:cs="Noto Sans Devanagari"/>
    </w:rPr>
  </w:style>
  <w:style w:type="paragraph" w:styleId="Cabeceraypie">
    <w:name w:val="Cabecera y pie"/>
    <w:basedOn w:val="Normal"/>
    <w:qFormat/>
    <w:pPr/>
    <w:rPr/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link w:val="EncabezadoCar"/>
    <w:uiPriority w:val="99"/>
    <w:unhideWhenUsed/>
    <w:rsid w:val="00a938e0"/>
    <w:pPr>
      <w:tabs>
        <w:tab w:val="clear" w:pos="708"/>
        <w:tab w:val="center" w:pos="4252" w:leader="none"/>
        <w:tab w:val="right" w:pos="8504" w:leader="none"/>
      </w:tabs>
      <w:spacing w:lineRule="auto" w:line="240" w:before="0" w:after="0"/>
    </w:pPr>
    <w:rPr/>
  </w:style>
  <w:style w:type="paragraph" w:styleId="Footer">
    <w:name w:val="Footer"/>
    <w:basedOn w:val="Normal"/>
    <w:link w:val="PiedepginaCar"/>
    <w:uiPriority w:val="99"/>
    <w:unhideWhenUsed/>
    <w:rsid w:val="00a938e0"/>
    <w:pPr>
      <w:tabs>
        <w:tab w:val="clear" w:pos="708"/>
        <w:tab w:val="center" w:pos="4252" w:leader="none"/>
        <w:tab w:val="right" w:pos="8504" w:leader="none"/>
      </w:tabs>
      <w:spacing w:lineRule="auto" w:line="240" w:before="0" w:after="0"/>
    </w:pPr>
    <w:rPr/>
  </w:style>
  <w:style w:type="paragraph" w:styleId="ListParagraph">
    <w:name w:val="List Paragraph"/>
    <w:basedOn w:val="Normal"/>
    <w:uiPriority w:val="34"/>
    <w:qFormat/>
    <w:rsid w:val="00bf3531"/>
    <w:pPr>
      <w:spacing w:before="0" w:after="160"/>
      <w:ind w:left="720" w:hanging="0"/>
      <w:contextualSpacing/>
    </w:pPr>
    <w:rPr/>
  </w:style>
  <w:style w:type="paragraph" w:styleId="BalloonText">
    <w:name w:val="Balloon Text"/>
    <w:basedOn w:val="Normal"/>
    <w:link w:val="TextodegloboCar"/>
    <w:uiPriority w:val="99"/>
    <w:semiHidden/>
    <w:unhideWhenUsed/>
    <w:qFormat/>
    <w:rsid w:val="00bf3531"/>
    <w:pPr>
      <w:spacing w:lineRule="auto" w:line="240" w:before="0" w:after="0"/>
    </w:pPr>
    <w:rPr>
      <w:rFonts w:ascii="Segoe UI" w:hAnsi="Segoe UI" w:cs="Segoe UI"/>
      <w:sz w:val="18"/>
      <w:szCs w:val="18"/>
    </w:rPr>
  </w:style>
  <w:style w:type="paragraph" w:styleId="Annotationtext">
    <w:name w:val="annotation text"/>
    <w:basedOn w:val="Normal"/>
    <w:link w:val="TextocomentarioCar"/>
    <w:uiPriority w:val="99"/>
    <w:semiHidden/>
    <w:unhideWhenUsed/>
    <w:qFormat/>
    <w:rsid w:val="004c72f0"/>
    <w:pPr>
      <w:spacing w:lineRule="auto" w:line="240"/>
    </w:pPr>
    <w:rPr>
      <w:sz w:val="20"/>
      <w:szCs w:val="20"/>
    </w:rPr>
  </w:style>
  <w:style w:type="paragraph" w:styleId="Annotationsubject">
    <w:name w:val="annotation subject"/>
    <w:basedOn w:val="Annotationtext"/>
    <w:next w:val="Annotationtext"/>
    <w:link w:val="AsuntodelcomentarioCar"/>
    <w:uiPriority w:val="99"/>
    <w:semiHidden/>
    <w:unhideWhenUsed/>
    <w:qFormat/>
    <w:rsid w:val="004c72f0"/>
    <w:pPr/>
    <w:rPr>
      <w:b/>
      <w:bCs/>
    </w:rPr>
  </w:style>
  <w:style w:type="paragraph" w:styleId="Footnote">
    <w:name w:val="Footnote Text"/>
    <w:basedOn w:val="Normal"/>
    <w:link w:val="TextonotapieCar"/>
    <w:uiPriority w:val="99"/>
    <w:semiHidden/>
    <w:unhideWhenUsed/>
    <w:rsid w:val="00b358be"/>
    <w:pPr>
      <w:spacing w:lineRule="auto" w:line="240" w:before="0" w:after="0"/>
    </w:pPr>
    <w:rPr>
      <w:sz w:val="20"/>
      <w:szCs w:val="20"/>
    </w:rPr>
  </w:style>
  <w:style w:type="paragraph" w:styleId="Contenidodelatabla">
    <w:name w:val="Contenido de la tabla"/>
    <w:basedOn w:val="Normal"/>
    <w:qFormat/>
    <w:pPr>
      <w:suppressLineNumbers/>
    </w:pPr>
    <w:rPr/>
  </w:style>
  <w:style w:type="paragraph" w:styleId="Ttulodelatabla">
    <w:name w:val="Título de la tabla"/>
    <w:basedOn w:val="Contenidodelatabla"/>
    <w:qFormat/>
    <w:pPr>
      <w:suppressLineNumbers/>
      <w:jc w:val="center"/>
    </w:pPr>
    <w:rPr>
      <w:b/>
      <w:bCs/>
    </w:rPr>
  </w:style>
  <w:style w:type="paragraph" w:styleId="Textopreformateado">
    <w:name w:val="Texto preformateado"/>
    <w:basedOn w:val="Normal"/>
    <w:qFormat/>
    <w:pPr>
      <w:spacing w:before="0" w:after="0"/>
    </w:pPr>
    <w:rPr>
      <w:rFonts w:ascii="Liberation Mono" w:hAnsi="Liberation Mono" w:eastAsia="Liberation Mono" w:cs="Liberation Mono"/>
      <w:sz w:val="20"/>
      <w:szCs w:val="20"/>
    </w:rPr>
  </w:style>
  <w:style w:type="paragraph" w:styleId="TableContents">
    <w:name w:val="Table Contents"/>
    <w:basedOn w:val="Normal"/>
    <w:qFormat/>
    <w:pPr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laconcuadrcula">
    <w:name w:val="Table Grid"/>
    <w:basedOn w:val="Tablanormal"/>
    <w:uiPriority w:val="39"/>
    <w:rsid w:val="0032206e"/>
    <w:pPr>
      <w:spacing w:after="0" w:line="240" w:lineRule="auto"/>
    </w:pPr>
    <w:rPr>
      <w:sz w:val="24"/>
      <w:szCs w:val="24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'1.0' encoding='UTF-8' standalone='yes'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google.es/" TargetMode="External"/><Relationship Id="rId3" Type="http://schemas.openxmlformats.org/officeDocument/2006/relationships/image" Target="media/image1.png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header" Target="header2.xml"/><Relationship Id="rId7" Type="http://schemas.openxmlformats.org/officeDocument/2006/relationships/footer" Target="footer2.xml"/><Relationship Id="rId8" Type="http://schemas.openxmlformats.org/officeDocument/2006/relationships/fontTable" Target="fontTable.xml"/><Relationship Id="rId9" Type="http://schemas.openxmlformats.org/officeDocument/2006/relationships/settings" Target="settings.xml"/><Relationship Id="rId10" Type="http://schemas.openxmlformats.org/officeDocument/2006/relationships/theme" Target="theme/theme1.xml"/><Relationship Id="rId11" Type="http://schemas.openxmlformats.org/officeDocument/2006/relationships/hyperlink" Target="https://www.unia.es/estudios-y-acceso/oferta-academica/masteres-oficiales/master-oficial-en-agroecologia-un-enfoque-para-la-sustentabilidad-rural-2" TargetMode="External"/><Relationship Id="rId12" Type="http://schemas.openxmlformats.org/officeDocument/2006/relationships/hyperlink" Target="https://www.uco.es/estudios/idep/agroecologia / https://www.upo.es/postgrado/Master-Oficial-Agroecologia-Un-Enfoque-de-Transformacion-Sustentable-de-los-Sistemas-Agroalimentarios/" TargetMode="External"/></Relationships>
</file>

<file path=word/_rels/header2.xml.rels><?xml version='1.0' encoding='UTF-8' standalone='yes'?>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4109</TotalTime>
  <Application>LibreOffice/6.4.7.2$Linux_X86_64 LibreOffice_project/40$Build-2</Application>
  <Pages>5</Pages>
  <Words>431</Words>
  <Characters>3887</Characters>
  <CharactersWithSpaces>4203</CharactersWithSpaces>
  <Paragraphs>118</Paragraphs>
  <Company>Universidad Internacional de Andalucía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2020-06-24T06:47:00Z</dcterms:created>
  <dc:creator>A.DeArriba</dc:creator>
  <dc:description/>
  <dc:language>es-ES</dc:language>
  <cp:lastModifiedBy/>
  <cp:lastPrinted>2019-03-29T12:33:00Z</cp:lastPrinted>
  <dcterms:modified xsi:type="dcterms:W3CDTF">2025-01-17T10:45:17Z</dcterms:modified>
  <cp:revision>242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Universidad Internacional de Andalucía</vt:lpwstr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